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5A59" w14:textId="717EED60" w:rsidR="00BE3EFC" w:rsidRPr="00574B8E" w:rsidRDefault="00BE3EFC" w:rsidP="00BE3EFC">
      <w:pPr>
        <w:spacing w:line="360" w:lineRule="auto"/>
        <w:jc w:val="center"/>
        <w:rPr>
          <w:rFonts w:cs="Arial"/>
          <w:noProof/>
          <w:lang w:eastAsia="en-GB"/>
        </w:rPr>
      </w:pPr>
      <w:r w:rsidRPr="00574B8E">
        <w:rPr>
          <w:rFonts w:cs="Arial"/>
          <w:noProof/>
          <w:lang w:eastAsia="en-GB"/>
        </w:rPr>
        <w:drawing>
          <wp:inline distT="0" distB="0" distL="0" distR="0" wp14:anchorId="07BF09DF" wp14:editId="6207DD36">
            <wp:extent cx="21907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1085850"/>
                    </a:xfrm>
                    <a:prstGeom prst="rect">
                      <a:avLst/>
                    </a:prstGeom>
                    <a:noFill/>
                    <a:ln>
                      <a:noFill/>
                    </a:ln>
                  </pic:spPr>
                </pic:pic>
              </a:graphicData>
            </a:graphic>
          </wp:inline>
        </w:drawing>
      </w:r>
    </w:p>
    <w:p w14:paraId="2798D3DD" w14:textId="77777777" w:rsidR="00BE3EFC" w:rsidRPr="00574B8E" w:rsidRDefault="00BE3EFC" w:rsidP="00BE3EFC">
      <w:pPr>
        <w:spacing w:line="360" w:lineRule="auto"/>
        <w:jc w:val="center"/>
        <w:rPr>
          <w:rFonts w:cs="Arial"/>
        </w:rPr>
      </w:pPr>
    </w:p>
    <w:p w14:paraId="2D047C5C" w14:textId="77777777" w:rsidR="00BE3EFC" w:rsidRPr="00574B8E" w:rsidRDefault="00BE3EFC" w:rsidP="00BE3EFC">
      <w:pPr>
        <w:tabs>
          <w:tab w:val="left" w:pos="1080"/>
        </w:tabs>
        <w:spacing w:line="360" w:lineRule="auto"/>
        <w:jc w:val="center"/>
        <w:rPr>
          <w:rFonts w:cs="Arial"/>
          <w:b/>
          <w:sz w:val="28"/>
          <w:szCs w:val="28"/>
        </w:rPr>
      </w:pPr>
      <w:r w:rsidRPr="00574B8E">
        <w:rPr>
          <w:rFonts w:cs="Arial"/>
          <w:b/>
          <w:sz w:val="28"/>
          <w:szCs w:val="28"/>
        </w:rPr>
        <w:t>Student Learning &amp; Experience Committee</w:t>
      </w:r>
    </w:p>
    <w:p w14:paraId="20239C4E" w14:textId="77777777" w:rsidR="00BE3EFC" w:rsidRDefault="00BE3EFC" w:rsidP="00BE3EFC">
      <w:pPr>
        <w:tabs>
          <w:tab w:val="left" w:pos="1080"/>
        </w:tabs>
        <w:rPr>
          <w:rFonts w:cs="Arial"/>
          <w:sz w:val="36"/>
          <w:szCs w:val="36"/>
        </w:rPr>
      </w:pPr>
    </w:p>
    <w:tbl>
      <w:tblPr>
        <w:tblW w:w="9044" w:type="dxa"/>
        <w:tblInd w:w="288" w:type="dxa"/>
        <w:tblBorders>
          <w:top w:val="triple" w:sz="12" w:space="0" w:color="auto"/>
          <w:left w:val="triple" w:sz="12" w:space="0" w:color="auto"/>
          <w:bottom w:val="triple" w:sz="12" w:space="0" w:color="auto"/>
          <w:right w:val="triple" w:sz="12" w:space="0" w:color="auto"/>
        </w:tblBorders>
        <w:shd w:val="clear" w:color="auto" w:fill="F4B083"/>
        <w:tblLook w:val="04A0" w:firstRow="1" w:lastRow="0" w:firstColumn="1" w:lastColumn="0" w:noHBand="0" w:noVBand="1"/>
      </w:tblPr>
      <w:tblGrid>
        <w:gridCol w:w="9044"/>
      </w:tblGrid>
      <w:tr w:rsidR="00BE3EFC" w14:paraId="1DBBEAF9" w14:textId="77777777" w:rsidTr="00FD3F1D">
        <w:tc>
          <w:tcPr>
            <w:tcW w:w="9044" w:type="dxa"/>
            <w:shd w:val="clear" w:color="auto" w:fill="F4B083"/>
          </w:tcPr>
          <w:p w14:paraId="11302FBC" w14:textId="77777777" w:rsidR="00BE3EFC" w:rsidRPr="009C175C" w:rsidRDefault="00BE3EFC" w:rsidP="00FD3F1D">
            <w:pPr>
              <w:jc w:val="center"/>
              <w:rPr>
                <w:rFonts w:cs="Arial"/>
                <w:b/>
                <w:bCs/>
                <w:sz w:val="48"/>
                <w:szCs w:val="48"/>
              </w:rPr>
            </w:pPr>
          </w:p>
          <w:p w14:paraId="00A3F925" w14:textId="77777777" w:rsidR="00BE3EFC" w:rsidRPr="00F736DA" w:rsidRDefault="00BE3EFC" w:rsidP="00FD3F1D">
            <w:pPr>
              <w:jc w:val="center"/>
              <w:rPr>
                <w:rFonts w:cs="Arial"/>
                <w:b/>
                <w:bCs/>
                <w:sz w:val="48"/>
                <w:szCs w:val="44"/>
              </w:rPr>
            </w:pPr>
            <w:r w:rsidRPr="00F736DA">
              <w:rPr>
                <w:rFonts w:cs="Arial"/>
                <w:b/>
                <w:bCs/>
                <w:sz w:val="48"/>
                <w:szCs w:val="44"/>
              </w:rPr>
              <w:t xml:space="preserve">Chapter D2: </w:t>
            </w:r>
          </w:p>
          <w:p w14:paraId="2D99BC9C" w14:textId="77777777" w:rsidR="00BE3EFC" w:rsidRPr="009C175C" w:rsidRDefault="00BE3EFC" w:rsidP="00FD3F1D">
            <w:pPr>
              <w:jc w:val="center"/>
              <w:rPr>
                <w:rFonts w:cs="Arial"/>
                <w:b/>
                <w:bCs/>
                <w:sz w:val="48"/>
                <w:szCs w:val="52"/>
              </w:rPr>
            </w:pPr>
          </w:p>
          <w:p w14:paraId="7DE5810A" w14:textId="4E64B773" w:rsidR="00BE3EFC" w:rsidRPr="00F736DA" w:rsidRDefault="00BE3EFC" w:rsidP="00FD3F1D">
            <w:pPr>
              <w:jc w:val="center"/>
              <w:rPr>
                <w:rFonts w:cs="Arial"/>
                <w:b/>
                <w:bCs/>
                <w:sz w:val="44"/>
                <w:szCs w:val="48"/>
              </w:rPr>
            </w:pPr>
            <w:r w:rsidRPr="00F736DA">
              <w:rPr>
                <w:rFonts w:cs="Arial"/>
                <w:b/>
                <w:bCs/>
                <w:sz w:val="44"/>
                <w:szCs w:val="48"/>
              </w:rPr>
              <w:t>External Examining</w:t>
            </w:r>
            <w:r w:rsidR="005A2D93">
              <w:rPr>
                <w:rFonts w:cs="Arial"/>
                <w:b/>
                <w:bCs/>
                <w:sz w:val="44"/>
                <w:szCs w:val="48"/>
              </w:rPr>
              <w:t xml:space="preserve"> (Taught Provision)</w:t>
            </w:r>
          </w:p>
          <w:p w14:paraId="68945634" w14:textId="77777777" w:rsidR="00BE3EFC" w:rsidRPr="009C175C" w:rsidRDefault="00BE3EFC" w:rsidP="00FD3F1D">
            <w:pPr>
              <w:jc w:val="center"/>
              <w:rPr>
                <w:rFonts w:cs="Arial"/>
                <w:sz w:val="48"/>
                <w:szCs w:val="32"/>
              </w:rPr>
            </w:pPr>
          </w:p>
        </w:tc>
      </w:tr>
    </w:tbl>
    <w:p w14:paraId="4D322361" w14:textId="77777777" w:rsidR="00BE3EFC" w:rsidRPr="009C175C" w:rsidRDefault="00BE3EFC" w:rsidP="00BE3EFC">
      <w:pPr>
        <w:tabs>
          <w:tab w:val="left" w:pos="1080"/>
        </w:tabs>
        <w:rPr>
          <w:rFonts w:cs="Arial"/>
          <w:szCs w:val="24"/>
        </w:rPr>
      </w:pPr>
    </w:p>
    <w:p w14:paraId="178420AC" w14:textId="77777777" w:rsidR="00BE3EFC" w:rsidRPr="00574B8E" w:rsidRDefault="00BE3EFC" w:rsidP="00BE3EFC">
      <w:pPr>
        <w:tabs>
          <w:tab w:val="left" w:pos="720"/>
          <w:tab w:val="left" w:pos="1080"/>
        </w:tabs>
        <w:rPr>
          <w:rFonts w:cs="Arial"/>
        </w:rPr>
      </w:pPr>
    </w:p>
    <w:p w14:paraId="42E6378F" w14:textId="77777777" w:rsidR="00BE3EFC" w:rsidRDefault="00BE3EFC" w:rsidP="00BE3EFC">
      <w:pPr>
        <w:tabs>
          <w:tab w:val="left" w:pos="720"/>
          <w:tab w:val="left" w:pos="1080"/>
        </w:tabs>
        <w:rPr>
          <w:rFonts w:cs="Arial"/>
          <w:b/>
        </w:rPr>
      </w:pPr>
    </w:p>
    <w:p w14:paraId="14EE30F5" w14:textId="77777777" w:rsidR="00BE3EFC" w:rsidRDefault="00BE3EFC" w:rsidP="00BE3EFC">
      <w:pPr>
        <w:tabs>
          <w:tab w:val="left" w:pos="720"/>
          <w:tab w:val="left" w:pos="1080"/>
        </w:tabs>
        <w:rPr>
          <w:rFonts w:cs="Arial"/>
          <w:b/>
        </w:rPr>
      </w:pPr>
    </w:p>
    <w:p w14:paraId="10D8EFD6" w14:textId="77777777" w:rsidR="00BE3EFC" w:rsidRDefault="00BE3EFC" w:rsidP="00BE3EFC">
      <w:pPr>
        <w:tabs>
          <w:tab w:val="left" w:pos="720"/>
          <w:tab w:val="left" w:pos="1080"/>
        </w:tabs>
        <w:rPr>
          <w:rFonts w:cs="Arial"/>
          <w:b/>
        </w:rPr>
      </w:pPr>
    </w:p>
    <w:p w14:paraId="6D75AD7F" w14:textId="77777777" w:rsidR="00BE3EFC" w:rsidRDefault="00BE3EFC" w:rsidP="00BE3EFC">
      <w:pPr>
        <w:tabs>
          <w:tab w:val="left" w:pos="720"/>
          <w:tab w:val="left" w:pos="1080"/>
        </w:tabs>
        <w:rPr>
          <w:rFonts w:cs="Arial"/>
          <w:b/>
        </w:rPr>
      </w:pPr>
    </w:p>
    <w:p w14:paraId="568DC949" w14:textId="77777777" w:rsidR="00BE3EFC" w:rsidRDefault="00BE3EFC" w:rsidP="00BE3EFC">
      <w:pPr>
        <w:tabs>
          <w:tab w:val="left" w:pos="720"/>
          <w:tab w:val="left" w:pos="1080"/>
        </w:tabs>
        <w:rPr>
          <w:rFonts w:cs="Arial"/>
          <w:b/>
        </w:rPr>
      </w:pPr>
    </w:p>
    <w:p w14:paraId="186FE1F2" w14:textId="77777777" w:rsidR="00BE3EFC" w:rsidRDefault="00BE3EFC" w:rsidP="00BE3EFC">
      <w:pPr>
        <w:tabs>
          <w:tab w:val="left" w:pos="720"/>
          <w:tab w:val="left" w:pos="1080"/>
        </w:tabs>
        <w:rPr>
          <w:rFonts w:cs="Arial"/>
          <w:b/>
        </w:rPr>
      </w:pPr>
    </w:p>
    <w:p w14:paraId="173BAE06" w14:textId="77777777" w:rsidR="00BE3EFC" w:rsidRDefault="00BE3EFC" w:rsidP="00BE3EFC">
      <w:pPr>
        <w:tabs>
          <w:tab w:val="left" w:pos="720"/>
          <w:tab w:val="left" w:pos="1080"/>
        </w:tabs>
        <w:rPr>
          <w:rFonts w:cs="Arial"/>
          <w:b/>
        </w:rPr>
      </w:pPr>
    </w:p>
    <w:p w14:paraId="678FDCFE" w14:textId="77777777" w:rsidR="00BE3EFC" w:rsidRDefault="00BE3EFC" w:rsidP="00BE3EFC">
      <w:pPr>
        <w:tabs>
          <w:tab w:val="left" w:pos="720"/>
          <w:tab w:val="left" w:pos="1080"/>
        </w:tabs>
        <w:rPr>
          <w:rFonts w:cs="Arial"/>
          <w:b/>
        </w:rPr>
      </w:pPr>
    </w:p>
    <w:p w14:paraId="151DDAB0" w14:textId="77777777" w:rsidR="00BE3EFC" w:rsidRDefault="00BE3EFC" w:rsidP="00BE3EFC">
      <w:pPr>
        <w:tabs>
          <w:tab w:val="left" w:pos="720"/>
          <w:tab w:val="left" w:pos="1080"/>
        </w:tabs>
        <w:rPr>
          <w:rFonts w:cs="Arial"/>
          <w:b/>
        </w:rPr>
      </w:pPr>
    </w:p>
    <w:p w14:paraId="355B4052" w14:textId="77777777" w:rsidR="00BE3EFC" w:rsidRDefault="00BE3EFC" w:rsidP="00BE3EFC">
      <w:pPr>
        <w:tabs>
          <w:tab w:val="left" w:pos="720"/>
          <w:tab w:val="left" w:pos="1080"/>
        </w:tabs>
        <w:rPr>
          <w:rFonts w:cs="Arial"/>
          <w:b/>
        </w:rPr>
      </w:pPr>
    </w:p>
    <w:p w14:paraId="08BF4DFA" w14:textId="77777777" w:rsidR="00BE3EFC" w:rsidRDefault="00BE3EFC" w:rsidP="00BE3EFC">
      <w:pPr>
        <w:tabs>
          <w:tab w:val="left" w:pos="720"/>
          <w:tab w:val="left" w:pos="1080"/>
        </w:tabs>
        <w:rPr>
          <w:rFonts w:cs="Arial"/>
          <w:b/>
        </w:rPr>
      </w:pPr>
    </w:p>
    <w:p w14:paraId="2E1F2E89" w14:textId="77777777" w:rsidR="00BE3EFC" w:rsidRDefault="00BE3EFC" w:rsidP="00BE3EFC">
      <w:pPr>
        <w:tabs>
          <w:tab w:val="left" w:pos="720"/>
          <w:tab w:val="left" w:pos="1080"/>
        </w:tabs>
        <w:rPr>
          <w:rFonts w:cs="Arial"/>
          <w:b/>
        </w:rPr>
      </w:pPr>
    </w:p>
    <w:p w14:paraId="7D4918E1" w14:textId="77777777" w:rsidR="00BE3EFC" w:rsidRDefault="00BE3EFC" w:rsidP="00BE3EFC">
      <w:pPr>
        <w:tabs>
          <w:tab w:val="left" w:pos="720"/>
          <w:tab w:val="left" w:pos="1080"/>
        </w:tabs>
        <w:rPr>
          <w:rFonts w:cs="Arial"/>
          <w:b/>
        </w:rPr>
      </w:pPr>
    </w:p>
    <w:p w14:paraId="60B4C50A" w14:textId="66167E7F" w:rsidR="00BE3EFC" w:rsidRDefault="00BE3EFC" w:rsidP="00BE3EFC">
      <w:pPr>
        <w:tabs>
          <w:tab w:val="left" w:pos="720"/>
          <w:tab w:val="left" w:pos="1080"/>
        </w:tabs>
        <w:rPr>
          <w:rFonts w:cs="Arial"/>
          <w:b/>
        </w:rPr>
      </w:pPr>
    </w:p>
    <w:p w14:paraId="1718365A" w14:textId="77777777" w:rsidR="00B80910" w:rsidRDefault="00B80910" w:rsidP="00BE3EFC">
      <w:pPr>
        <w:tabs>
          <w:tab w:val="left" w:pos="720"/>
          <w:tab w:val="left" w:pos="1080"/>
        </w:tabs>
        <w:rPr>
          <w:rFonts w:cs="Arial"/>
          <w:b/>
        </w:rPr>
      </w:pPr>
    </w:p>
    <w:p w14:paraId="67D923CA" w14:textId="77777777" w:rsidR="009C175C" w:rsidRDefault="009C175C" w:rsidP="00BE3EFC">
      <w:pPr>
        <w:tabs>
          <w:tab w:val="left" w:pos="720"/>
          <w:tab w:val="left" w:pos="1080"/>
        </w:tabs>
        <w:rPr>
          <w:rFonts w:cs="Arial"/>
          <w:b/>
        </w:rPr>
      </w:pPr>
    </w:p>
    <w:p w14:paraId="11F7F018" w14:textId="77777777" w:rsidR="00BE3EFC" w:rsidRPr="00574B8E" w:rsidRDefault="00BE3EFC" w:rsidP="00BE3EFC">
      <w:pPr>
        <w:tabs>
          <w:tab w:val="left" w:pos="720"/>
          <w:tab w:val="left" w:pos="1080"/>
        </w:tabs>
        <w:rPr>
          <w:rFonts w:cs="Arial"/>
          <w:b/>
        </w:rPr>
      </w:pPr>
    </w:p>
    <w:p w14:paraId="6FC28BED" w14:textId="77777777" w:rsidR="00BE3EFC" w:rsidRPr="00574B8E" w:rsidRDefault="00BE3EFC" w:rsidP="00BE3EFC">
      <w:pPr>
        <w:tabs>
          <w:tab w:val="left" w:pos="720"/>
          <w:tab w:val="left" w:pos="1080"/>
        </w:tabs>
        <w:rPr>
          <w:rFonts w:cs="Arial"/>
          <w:b/>
        </w:rPr>
      </w:pPr>
    </w:p>
    <w:tbl>
      <w:tblPr>
        <w:tblW w:w="64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tblGrid>
      <w:tr w:rsidR="00BE3EFC" w14:paraId="41CC24AB" w14:textId="77777777" w:rsidTr="4354770F">
        <w:tc>
          <w:tcPr>
            <w:tcW w:w="6480" w:type="dxa"/>
            <w:shd w:val="clear" w:color="auto" w:fill="auto"/>
          </w:tcPr>
          <w:p w14:paraId="157F00AE" w14:textId="77777777" w:rsidR="00BE3EFC" w:rsidRPr="00F736DA" w:rsidRDefault="00BE3EFC" w:rsidP="00FD3F1D">
            <w:pPr>
              <w:pStyle w:val="BodyText2"/>
              <w:spacing w:after="0" w:line="240" w:lineRule="auto"/>
              <w:rPr>
                <w:rFonts w:ascii="Arial" w:hAnsi="Arial" w:cs="Arial"/>
                <w:b/>
                <w:bCs/>
                <w:sz w:val="20"/>
                <w:szCs w:val="20"/>
              </w:rPr>
            </w:pPr>
          </w:p>
          <w:p w14:paraId="4449D72C" w14:textId="557DA41C" w:rsidR="00BE3EFC" w:rsidRPr="00F736DA" w:rsidRDefault="00BE3EFC" w:rsidP="00FD3F1D">
            <w:pPr>
              <w:pStyle w:val="BodyText2"/>
              <w:spacing w:after="0" w:line="240" w:lineRule="auto"/>
              <w:rPr>
                <w:rFonts w:ascii="Arial" w:hAnsi="Arial" w:cs="Arial"/>
                <w:bCs/>
                <w:sz w:val="20"/>
                <w:szCs w:val="20"/>
              </w:rPr>
            </w:pPr>
            <w:r w:rsidRPr="00F736DA">
              <w:rPr>
                <w:rFonts w:ascii="Arial" w:hAnsi="Arial" w:cs="Arial"/>
                <w:b/>
                <w:bCs/>
                <w:sz w:val="20"/>
                <w:szCs w:val="20"/>
              </w:rPr>
              <w:t>Document Owner:</w:t>
            </w:r>
            <w:r w:rsidRPr="00F736DA">
              <w:rPr>
                <w:rFonts w:ascii="Arial" w:hAnsi="Arial" w:cs="Arial"/>
                <w:b/>
                <w:bCs/>
                <w:sz w:val="20"/>
                <w:szCs w:val="20"/>
              </w:rPr>
              <w:tab/>
            </w:r>
            <w:r w:rsidRPr="00BE3EFC">
              <w:rPr>
                <w:rFonts w:ascii="Arial" w:hAnsi="Arial" w:cs="Arial"/>
                <w:sz w:val="20"/>
                <w:szCs w:val="20"/>
              </w:rPr>
              <w:t>Student Learning &amp; Academic</w:t>
            </w:r>
            <w:r w:rsidRPr="00F736DA">
              <w:rPr>
                <w:rFonts w:ascii="Arial" w:hAnsi="Arial" w:cs="Arial"/>
                <w:bCs/>
                <w:sz w:val="20"/>
                <w:szCs w:val="20"/>
              </w:rPr>
              <w:t xml:space="preserve"> Registry</w:t>
            </w:r>
          </w:p>
          <w:p w14:paraId="5FD08328" w14:textId="6755A28F" w:rsidR="00BE3EFC" w:rsidRPr="00B80910" w:rsidRDefault="00BE3EFC" w:rsidP="4354770F">
            <w:pPr>
              <w:pStyle w:val="BodyText2"/>
              <w:spacing w:after="0" w:line="240" w:lineRule="auto"/>
              <w:rPr>
                <w:rFonts w:ascii="Arial" w:hAnsi="Arial" w:cs="Arial"/>
                <w:b/>
                <w:bCs/>
                <w:sz w:val="16"/>
                <w:szCs w:val="16"/>
              </w:rPr>
            </w:pPr>
            <w:r w:rsidRPr="4354770F">
              <w:rPr>
                <w:rFonts w:ascii="Arial" w:hAnsi="Arial" w:cs="Arial"/>
                <w:b/>
                <w:bCs/>
                <w:sz w:val="20"/>
                <w:szCs w:val="20"/>
              </w:rPr>
              <w:t>Version number:</w:t>
            </w:r>
            <w:r>
              <w:tab/>
            </w:r>
            <w:r w:rsidR="00B80910" w:rsidRPr="00B80910">
              <w:rPr>
                <w:rFonts w:ascii="Arial" w:hAnsi="Arial" w:cs="Arial"/>
                <w:b/>
                <w:bCs/>
                <w:sz w:val="20"/>
                <w:szCs w:val="20"/>
              </w:rPr>
              <w:t>2.0</w:t>
            </w:r>
          </w:p>
          <w:p w14:paraId="5D447D01" w14:textId="559D2BAD" w:rsidR="00BE3EFC" w:rsidRPr="00F736DA" w:rsidRDefault="00BE3EFC" w:rsidP="00FD3F1D">
            <w:pPr>
              <w:overflowPunct w:val="0"/>
              <w:autoSpaceDE w:val="0"/>
              <w:autoSpaceDN w:val="0"/>
              <w:adjustRightInd w:val="0"/>
              <w:textAlignment w:val="baseline"/>
              <w:rPr>
                <w:rFonts w:cs="Arial"/>
                <w:sz w:val="20"/>
                <w:szCs w:val="20"/>
                <w:lang w:val="en-US"/>
              </w:rPr>
            </w:pPr>
            <w:r w:rsidRPr="00F736DA">
              <w:rPr>
                <w:rFonts w:cs="Arial"/>
                <w:b/>
                <w:bCs/>
                <w:sz w:val="20"/>
                <w:szCs w:val="20"/>
                <w:lang w:val="en-US"/>
              </w:rPr>
              <w:t>Effective date:</w:t>
            </w:r>
            <w:r w:rsidRPr="00F736DA">
              <w:rPr>
                <w:rFonts w:cs="Arial"/>
                <w:sz w:val="20"/>
                <w:szCs w:val="20"/>
                <w:lang w:val="en-US"/>
              </w:rPr>
              <w:tab/>
            </w:r>
            <w:r w:rsidRPr="00F736DA">
              <w:rPr>
                <w:rFonts w:cs="Arial"/>
                <w:sz w:val="20"/>
                <w:szCs w:val="20"/>
                <w:lang w:val="en-US"/>
              </w:rPr>
              <w:tab/>
            </w:r>
            <w:r w:rsidR="0080693A">
              <w:rPr>
                <w:rFonts w:cs="Arial"/>
                <w:sz w:val="20"/>
                <w:szCs w:val="20"/>
                <w:lang w:val="en-US"/>
              </w:rPr>
              <w:t>September</w:t>
            </w:r>
            <w:r w:rsidR="0080693A" w:rsidRPr="00F736DA">
              <w:rPr>
                <w:rFonts w:cs="Arial"/>
                <w:sz w:val="20"/>
                <w:szCs w:val="20"/>
                <w:lang w:val="en-US"/>
              </w:rPr>
              <w:t xml:space="preserve"> </w:t>
            </w:r>
            <w:r w:rsidRPr="00F736DA">
              <w:rPr>
                <w:rFonts w:cs="Arial"/>
                <w:sz w:val="20"/>
                <w:szCs w:val="20"/>
                <w:lang w:val="en-US"/>
              </w:rPr>
              <w:t>20</w:t>
            </w:r>
            <w:r>
              <w:rPr>
                <w:rFonts w:cs="Arial"/>
                <w:sz w:val="20"/>
                <w:szCs w:val="20"/>
                <w:lang w:val="en-US"/>
              </w:rPr>
              <w:t>2</w:t>
            </w:r>
            <w:r w:rsidR="00A17D0C">
              <w:rPr>
                <w:rFonts w:cs="Arial"/>
                <w:sz w:val="20"/>
                <w:szCs w:val="20"/>
                <w:lang w:val="en-US"/>
              </w:rPr>
              <w:t>4</w:t>
            </w:r>
            <w:r w:rsidR="000D5B26">
              <w:rPr>
                <w:rFonts w:cs="Arial"/>
                <w:sz w:val="20"/>
                <w:szCs w:val="20"/>
                <w:lang w:val="en-US"/>
              </w:rPr>
              <w:t xml:space="preserve"> </w:t>
            </w:r>
            <w:r w:rsidRPr="00F736DA">
              <w:rPr>
                <w:rFonts w:cs="Arial"/>
                <w:sz w:val="20"/>
                <w:szCs w:val="20"/>
                <w:lang w:val="en-US"/>
              </w:rPr>
              <w:t>(Academic Year 20</w:t>
            </w:r>
            <w:r>
              <w:rPr>
                <w:rFonts w:cs="Arial"/>
                <w:sz w:val="20"/>
                <w:szCs w:val="20"/>
                <w:lang w:val="en-US"/>
              </w:rPr>
              <w:t>2</w:t>
            </w:r>
            <w:r w:rsidR="00A17D0C">
              <w:rPr>
                <w:rFonts w:cs="Arial"/>
                <w:sz w:val="20"/>
                <w:szCs w:val="20"/>
                <w:lang w:val="en-US"/>
              </w:rPr>
              <w:t>4</w:t>
            </w:r>
            <w:r w:rsidRPr="00F736DA">
              <w:rPr>
                <w:rFonts w:cs="Arial"/>
                <w:sz w:val="20"/>
                <w:szCs w:val="20"/>
                <w:lang w:val="en-US"/>
              </w:rPr>
              <w:t>-2</w:t>
            </w:r>
            <w:r w:rsidR="00A17D0C">
              <w:rPr>
                <w:rFonts w:cs="Arial"/>
                <w:sz w:val="20"/>
                <w:szCs w:val="20"/>
                <w:lang w:val="en-US"/>
              </w:rPr>
              <w:t>5</w:t>
            </w:r>
            <w:r w:rsidRPr="00F736DA">
              <w:rPr>
                <w:rFonts w:cs="Arial"/>
                <w:sz w:val="20"/>
                <w:szCs w:val="20"/>
                <w:lang w:val="en-US"/>
              </w:rPr>
              <w:t>)</w:t>
            </w:r>
          </w:p>
          <w:p w14:paraId="277C89A6" w14:textId="38FE9C33" w:rsidR="00BE3EFC" w:rsidRPr="00F736DA" w:rsidRDefault="00BE3EFC" w:rsidP="00FD3F1D">
            <w:pPr>
              <w:overflowPunct w:val="0"/>
              <w:autoSpaceDE w:val="0"/>
              <w:autoSpaceDN w:val="0"/>
              <w:adjustRightInd w:val="0"/>
              <w:textAlignment w:val="baseline"/>
              <w:rPr>
                <w:rFonts w:cs="Arial"/>
                <w:sz w:val="20"/>
                <w:szCs w:val="20"/>
                <w:lang w:val="en-US"/>
              </w:rPr>
            </w:pPr>
            <w:r w:rsidRPr="00F736DA">
              <w:rPr>
                <w:rFonts w:cs="Arial"/>
                <w:b/>
                <w:bCs/>
                <w:sz w:val="20"/>
                <w:szCs w:val="20"/>
                <w:lang w:val="en-US"/>
              </w:rPr>
              <w:t xml:space="preserve">Date of next review:  </w:t>
            </w:r>
            <w:r w:rsidRPr="00F736DA">
              <w:rPr>
                <w:rFonts w:cs="Arial"/>
                <w:b/>
                <w:bCs/>
                <w:sz w:val="20"/>
                <w:szCs w:val="20"/>
                <w:lang w:val="en-US"/>
              </w:rPr>
              <w:tab/>
            </w:r>
            <w:r w:rsidRPr="00F736DA">
              <w:rPr>
                <w:rFonts w:cs="Arial"/>
                <w:sz w:val="20"/>
                <w:szCs w:val="20"/>
                <w:lang w:val="en-US"/>
              </w:rPr>
              <w:t>July 202</w:t>
            </w:r>
            <w:r w:rsidR="00504AAB">
              <w:rPr>
                <w:rFonts w:cs="Arial"/>
                <w:sz w:val="20"/>
                <w:szCs w:val="20"/>
                <w:lang w:val="en-US"/>
              </w:rPr>
              <w:t>5</w:t>
            </w:r>
          </w:p>
          <w:p w14:paraId="6FB96990" w14:textId="77777777" w:rsidR="00BE3EFC" w:rsidRPr="00F736DA" w:rsidRDefault="00BE3EFC" w:rsidP="00FD3F1D">
            <w:pPr>
              <w:overflowPunct w:val="0"/>
              <w:autoSpaceDE w:val="0"/>
              <w:autoSpaceDN w:val="0"/>
              <w:adjustRightInd w:val="0"/>
              <w:textAlignment w:val="baseline"/>
              <w:rPr>
                <w:rFonts w:cs="Arial"/>
                <w:sz w:val="20"/>
                <w:szCs w:val="20"/>
                <w:lang w:val="en-US"/>
              </w:rPr>
            </w:pPr>
          </w:p>
          <w:p w14:paraId="3713A55C" w14:textId="77777777" w:rsidR="00BE3EFC" w:rsidRPr="00F736DA" w:rsidRDefault="00BE3EFC" w:rsidP="00FD3F1D">
            <w:pPr>
              <w:rPr>
                <w:rFonts w:cs="Arial"/>
                <w:sz w:val="20"/>
                <w:szCs w:val="20"/>
              </w:rPr>
            </w:pPr>
            <w:r w:rsidRPr="00F736DA">
              <w:rPr>
                <w:rFonts w:cs="Arial"/>
                <w:i/>
                <w:iCs/>
                <w:sz w:val="20"/>
                <w:szCs w:val="20"/>
              </w:rPr>
              <w:t xml:space="preserve">This document is part of the University Quality Framework, which governs the University’s academic provision. </w:t>
            </w:r>
          </w:p>
          <w:p w14:paraId="07BB9191" w14:textId="77777777" w:rsidR="00BE3EFC" w:rsidRPr="00F736DA" w:rsidRDefault="00BE3EFC" w:rsidP="00FD3F1D">
            <w:pPr>
              <w:rPr>
                <w:rFonts w:cs="Arial"/>
                <w:sz w:val="20"/>
                <w:szCs w:val="20"/>
              </w:rPr>
            </w:pPr>
          </w:p>
        </w:tc>
      </w:tr>
    </w:tbl>
    <w:p w14:paraId="21A93FA3" w14:textId="77777777" w:rsidR="009C175C" w:rsidRDefault="009C175C">
      <w:pPr>
        <w:spacing w:after="160" w:line="259" w:lineRule="auto"/>
        <w:sectPr w:rsidR="009C175C" w:rsidSect="00E34DA8">
          <w:headerReference w:type="default" r:id="rId12"/>
          <w:footerReference w:type="default" r:id="rId13"/>
          <w:pgSz w:w="11906" w:h="16838" w:code="9"/>
          <w:pgMar w:top="1440" w:right="1440" w:bottom="1440" w:left="1440" w:header="709" w:footer="709" w:gutter="0"/>
          <w:cols w:space="708"/>
          <w:docGrid w:linePitch="360"/>
        </w:sectPr>
      </w:pPr>
    </w:p>
    <w:p w14:paraId="1794AECA" w14:textId="151C6759" w:rsidR="0048411F" w:rsidRDefault="00BE3EFC" w:rsidP="00BE3EFC">
      <w:pPr>
        <w:tabs>
          <w:tab w:val="num" w:pos="720"/>
          <w:tab w:val="left" w:pos="1080"/>
        </w:tabs>
        <w:spacing w:line="360" w:lineRule="auto"/>
        <w:ind w:left="1440" w:right="-1" w:hanging="1440"/>
        <w:rPr>
          <w:rFonts w:cs="Arial"/>
        </w:rPr>
      </w:pPr>
      <w:r w:rsidRPr="00574B8E">
        <w:rPr>
          <w:rFonts w:cs="Arial"/>
          <w:noProof/>
        </w:rPr>
        <w:lastRenderedPageBreak/>
        <mc:AlternateContent>
          <mc:Choice Requires="wps">
            <w:drawing>
              <wp:inline distT="0" distB="0" distL="0" distR="0" wp14:anchorId="1D51A6AA" wp14:editId="0441BA22">
                <wp:extent cx="5731510" cy="417830"/>
                <wp:effectExtent l="57150" t="38100" r="78740" b="96520"/>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417830"/>
                        </a:xfrm>
                        <a:prstGeom prst="rect">
                          <a:avLst/>
                        </a:prstGeom>
                        <a:solidFill>
                          <a:srgbClr val="ED7D31">
                            <a:lumMod val="60000"/>
                            <a:lumOff val="40000"/>
                          </a:srgbClr>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4E33A5F4" w14:textId="77777777" w:rsidR="00BE3EFC" w:rsidRPr="00C90236" w:rsidRDefault="00BE3EFC" w:rsidP="00BE3EFC">
                            <w:pPr>
                              <w:spacing w:before="120" w:after="120"/>
                              <w:jc w:val="center"/>
                              <w:rPr>
                                <w:rFonts w:cs="Arial"/>
                                <w:b/>
                              </w:rPr>
                            </w:pPr>
                            <w:r w:rsidRPr="00C90236">
                              <w:rPr>
                                <w:rFonts w:cs="Arial"/>
                                <w:b/>
                              </w:rPr>
                              <w:t>C O N T E N T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51A6AA" id="Rectangle 150" o:spid="_x0000_s1026" style="width:451.3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" fillcolor="#f4b183" strokecolor="#7d60a0">
                <v:shadow on="t" color="black" opacity="24903f" origin=",.5" offset="0,.55556mm"/>
                <v:path arrowok="t"/>
                <v:textbox>
                  <w:txbxContent>
                    <w:p w14:paraId="4E33A5F4" w14:textId="77777777" w:rsidR="00BE3EFC" w:rsidRPr="00C90236" w:rsidRDefault="00BE3EFC" w:rsidP="00BE3EFC">
                      <w:pPr>
                        <w:spacing w:before="120" w:after="120"/>
                        <w:jc w:val="center"/>
                        <w:rPr>
                          <w:rFonts w:cs="Arial"/>
                          <w:b/>
                        </w:rPr>
                      </w:pPr>
                      <w:r w:rsidRPr="00C90236">
                        <w:rPr>
                          <w:rFonts w:cs="Arial"/>
                          <w:b/>
                        </w:rPr>
                        <w:t>C O N T E N T S</w:t>
                      </w:r>
                    </w:p>
                  </w:txbxContent>
                </v:textbox>
                <w10:anchorlock/>
              </v:rect>
            </w:pict>
          </mc:Fallback>
        </mc:AlternateContent>
      </w:r>
    </w:p>
    <w:sdt>
      <w:sdtPr>
        <w:rPr>
          <w:rFonts w:ascii="Arial" w:eastAsiaTheme="minorHAnsi" w:hAnsi="Arial" w:cstheme="minorBidi"/>
          <w:b w:val="0"/>
          <w:color w:val="auto"/>
          <w:szCs w:val="22"/>
          <w:lang w:val="en-GB"/>
        </w:rPr>
        <w:id w:val="903037078"/>
        <w:docPartObj>
          <w:docPartGallery w:val="Table of Contents"/>
          <w:docPartUnique/>
        </w:docPartObj>
      </w:sdtPr>
      <w:sdtEndPr>
        <w:rPr>
          <w:bCs/>
          <w:noProof/>
        </w:rPr>
      </w:sdtEndPr>
      <w:sdtContent>
        <w:p w14:paraId="51F17714" w14:textId="0F2650C0" w:rsidR="006E1808" w:rsidRPr="006E1808" w:rsidRDefault="006E1808">
          <w:pPr>
            <w:pStyle w:val="TOCHeading"/>
            <w:rPr>
              <w:rFonts w:ascii="Arial" w:hAnsi="Arial" w:cs="Arial"/>
              <w:b w:val="0"/>
              <w:bCs/>
              <w:color w:val="auto"/>
            </w:rPr>
          </w:pPr>
        </w:p>
        <w:p w14:paraId="04611A2E" w14:textId="2F8D9B84" w:rsidR="00017933" w:rsidRDefault="00283B0A">
          <w:pPr>
            <w:pStyle w:val="TOC1"/>
            <w:tabs>
              <w:tab w:val="left" w:pos="567"/>
              <w:tab w:val="right" w:leader="dot" w:pos="9016"/>
            </w:tabs>
            <w:rPr>
              <w:rFonts w:asciiTheme="minorHAnsi" w:eastAsiaTheme="minorEastAsia" w:hAnsiTheme="minorHAnsi"/>
              <w:b w:val="0"/>
              <w:noProof/>
              <w:sz w:val="22"/>
              <w:lang w:eastAsia="en-GB"/>
            </w:rPr>
          </w:pPr>
          <w:r>
            <w:rPr>
              <w:b w:val="0"/>
            </w:rPr>
            <w:fldChar w:fldCharType="begin"/>
          </w:r>
          <w:r>
            <w:rPr>
              <w:b w:val="0"/>
            </w:rPr>
            <w:instrText xml:space="preserve"> TOC \o "1-3" \h \z \u </w:instrText>
          </w:r>
          <w:r>
            <w:rPr>
              <w:b w:val="0"/>
            </w:rPr>
            <w:fldChar w:fldCharType="separate"/>
          </w:r>
          <w:hyperlink w:anchor="_Toc134519907" w:history="1">
            <w:r w:rsidR="00017933" w:rsidRPr="00E15AA9">
              <w:rPr>
                <w:rStyle w:val="Hyperlink"/>
                <w:noProof/>
              </w:rPr>
              <w:t>1.</w:t>
            </w:r>
            <w:r w:rsidR="00017933">
              <w:rPr>
                <w:rFonts w:asciiTheme="minorHAnsi" w:eastAsiaTheme="minorEastAsia" w:hAnsiTheme="minorHAnsi"/>
                <w:b w:val="0"/>
                <w:noProof/>
                <w:sz w:val="22"/>
                <w:lang w:eastAsia="en-GB"/>
              </w:rPr>
              <w:tab/>
            </w:r>
            <w:r w:rsidR="00017933" w:rsidRPr="00E15AA9">
              <w:rPr>
                <w:rStyle w:val="Hyperlink"/>
                <w:noProof/>
              </w:rPr>
              <w:t>Introduction</w:t>
            </w:r>
            <w:r w:rsidR="00017933">
              <w:rPr>
                <w:noProof/>
                <w:webHidden/>
              </w:rPr>
              <w:tab/>
            </w:r>
            <w:r w:rsidR="00017933">
              <w:rPr>
                <w:noProof/>
                <w:webHidden/>
              </w:rPr>
              <w:fldChar w:fldCharType="begin"/>
            </w:r>
            <w:r w:rsidR="00017933">
              <w:rPr>
                <w:noProof/>
                <w:webHidden/>
              </w:rPr>
              <w:instrText xml:space="preserve"> PAGEREF _Toc134519907 \h </w:instrText>
            </w:r>
            <w:r w:rsidR="00017933">
              <w:rPr>
                <w:noProof/>
                <w:webHidden/>
              </w:rPr>
            </w:r>
            <w:r w:rsidR="00017933">
              <w:rPr>
                <w:noProof/>
                <w:webHidden/>
              </w:rPr>
              <w:fldChar w:fldCharType="separate"/>
            </w:r>
            <w:r w:rsidR="00023A77">
              <w:rPr>
                <w:noProof/>
                <w:webHidden/>
              </w:rPr>
              <w:t>1</w:t>
            </w:r>
            <w:r w:rsidR="00017933">
              <w:rPr>
                <w:noProof/>
                <w:webHidden/>
              </w:rPr>
              <w:fldChar w:fldCharType="end"/>
            </w:r>
          </w:hyperlink>
        </w:p>
        <w:p w14:paraId="1C35FD9A" w14:textId="654017BF" w:rsidR="00017933" w:rsidRDefault="008938A3">
          <w:pPr>
            <w:pStyle w:val="TOC1"/>
            <w:tabs>
              <w:tab w:val="left" w:pos="567"/>
              <w:tab w:val="right" w:leader="dot" w:pos="9016"/>
            </w:tabs>
            <w:rPr>
              <w:rFonts w:asciiTheme="minorHAnsi" w:eastAsiaTheme="minorEastAsia" w:hAnsiTheme="minorHAnsi"/>
              <w:b w:val="0"/>
              <w:noProof/>
              <w:sz w:val="22"/>
              <w:lang w:eastAsia="en-GB"/>
            </w:rPr>
          </w:pPr>
          <w:hyperlink w:anchor="_Toc134519908" w:history="1">
            <w:r w:rsidR="00017933" w:rsidRPr="00E15AA9">
              <w:rPr>
                <w:rStyle w:val="Hyperlink"/>
                <w:noProof/>
              </w:rPr>
              <w:t>2.</w:t>
            </w:r>
            <w:r w:rsidR="00017933">
              <w:rPr>
                <w:rFonts w:asciiTheme="minorHAnsi" w:eastAsiaTheme="minorEastAsia" w:hAnsiTheme="minorHAnsi"/>
                <w:b w:val="0"/>
                <w:noProof/>
                <w:sz w:val="22"/>
                <w:lang w:eastAsia="en-GB"/>
              </w:rPr>
              <w:tab/>
            </w:r>
            <w:r w:rsidR="00017933" w:rsidRPr="00E15AA9">
              <w:rPr>
                <w:rStyle w:val="Hyperlink"/>
                <w:noProof/>
              </w:rPr>
              <w:t>Appointment and Terms of Office</w:t>
            </w:r>
            <w:r w:rsidR="00017933">
              <w:rPr>
                <w:noProof/>
                <w:webHidden/>
              </w:rPr>
              <w:tab/>
            </w:r>
            <w:r w:rsidR="00017933">
              <w:rPr>
                <w:noProof/>
                <w:webHidden/>
              </w:rPr>
              <w:fldChar w:fldCharType="begin"/>
            </w:r>
            <w:r w:rsidR="00017933">
              <w:rPr>
                <w:noProof/>
                <w:webHidden/>
              </w:rPr>
              <w:instrText xml:space="preserve"> PAGEREF _Toc134519908 \h </w:instrText>
            </w:r>
            <w:r w:rsidR="00017933">
              <w:rPr>
                <w:noProof/>
                <w:webHidden/>
              </w:rPr>
            </w:r>
            <w:r w:rsidR="00017933">
              <w:rPr>
                <w:noProof/>
                <w:webHidden/>
              </w:rPr>
              <w:fldChar w:fldCharType="separate"/>
            </w:r>
            <w:r w:rsidR="00023A77">
              <w:rPr>
                <w:noProof/>
                <w:webHidden/>
              </w:rPr>
              <w:t>2</w:t>
            </w:r>
            <w:r w:rsidR="00017933">
              <w:rPr>
                <w:noProof/>
                <w:webHidden/>
              </w:rPr>
              <w:fldChar w:fldCharType="end"/>
            </w:r>
          </w:hyperlink>
        </w:p>
        <w:p w14:paraId="5E4EBAD6" w14:textId="751AE30E" w:rsidR="00017933" w:rsidRDefault="008938A3" w:rsidP="00017933">
          <w:pPr>
            <w:pStyle w:val="TOC2"/>
            <w:rPr>
              <w:rFonts w:asciiTheme="minorHAnsi" w:eastAsiaTheme="minorEastAsia" w:hAnsiTheme="minorHAnsi"/>
              <w:noProof/>
              <w:sz w:val="22"/>
              <w:lang w:eastAsia="en-GB"/>
            </w:rPr>
          </w:pPr>
          <w:hyperlink w:anchor="_Toc134519909" w:history="1">
            <w:r w:rsidR="00017933" w:rsidRPr="00E15AA9">
              <w:rPr>
                <w:rStyle w:val="Hyperlink"/>
                <w:noProof/>
              </w:rPr>
              <w:t>2.1</w:t>
            </w:r>
            <w:r w:rsidR="00017933">
              <w:rPr>
                <w:rFonts w:asciiTheme="minorHAnsi" w:eastAsiaTheme="minorEastAsia" w:hAnsiTheme="minorHAnsi"/>
                <w:noProof/>
                <w:sz w:val="22"/>
                <w:lang w:eastAsia="en-GB"/>
              </w:rPr>
              <w:tab/>
            </w:r>
            <w:r w:rsidR="00017933" w:rsidRPr="00E15AA9">
              <w:rPr>
                <w:rStyle w:val="Hyperlink"/>
                <w:noProof/>
              </w:rPr>
              <w:t>Appointment</w:t>
            </w:r>
            <w:r w:rsidR="00017933">
              <w:rPr>
                <w:noProof/>
                <w:webHidden/>
              </w:rPr>
              <w:tab/>
            </w:r>
            <w:r w:rsidR="00017933">
              <w:rPr>
                <w:noProof/>
                <w:webHidden/>
              </w:rPr>
              <w:fldChar w:fldCharType="begin"/>
            </w:r>
            <w:r w:rsidR="00017933">
              <w:rPr>
                <w:noProof/>
                <w:webHidden/>
              </w:rPr>
              <w:instrText xml:space="preserve"> PAGEREF _Toc134519909 \h </w:instrText>
            </w:r>
            <w:r w:rsidR="00017933">
              <w:rPr>
                <w:noProof/>
                <w:webHidden/>
              </w:rPr>
            </w:r>
            <w:r w:rsidR="00017933">
              <w:rPr>
                <w:noProof/>
                <w:webHidden/>
              </w:rPr>
              <w:fldChar w:fldCharType="separate"/>
            </w:r>
            <w:r w:rsidR="00023A77">
              <w:rPr>
                <w:noProof/>
                <w:webHidden/>
              </w:rPr>
              <w:t>2</w:t>
            </w:r>
            <w:r w:rsidR="00017933">
              <w:rPr>
                <w:noProof/>
                <w:webHidden/>
              </w:rPr>
              <w:fldChar w:fldCharType="end"/>
            </w:r>
          </w:hyperlink>
        </w:p>
        <w:p w14:paraId="0D627EEF" w14:textId="009924D7" w:rsidR="00017933" w:rsidRDefault="008938A3" w:rsidP="00017933">
          <w:pPr>
            <w:pStyle w:val="TOC2"/>
            <w:rPr>
              <w:rFonts w:asciiTheme="minorHAnsi" w:eastAsiaTheme="minorEastAsia" w:hAnsiTheme="minorHAnsi"/>
              <w:noProof/>
              <w:sz w:val="22"/>
              <w:lang w:eastAsia="en-GB"/>
            </w:rPr>
          </w:pPr>
          <w:hyperlink w:anchor="_Toc134519910" w:history="1">
            <w:r w:rsidR="00017933" w:rsidRPr="00E15AA9">
              <w:rPr>
                <w:rStyle w:val="Hyperlink"/>
                <w:noProof/>
              </w:rPr>
              <w:t>2.2</w:t>
            </w:r>
            <w:r w:rsidR="00017933">
              <w:rPr>
                <w:rFonts w:asciiTheme="minorHAnsi" w:eastAsiaTheme="minorEastAsia" w:hAnsiTheme="minorHAnsi"/>
                <w:noProof/>
                <w:sz w:val="22"/>
                <w:lang w:eastAsia="en-GB"/>
              </w:rPr>
              <w:tab/>
            </w:r>
            <w:r w:rsidR="00017933" w:rsidRPr="00E15AA9">
              <w:rPr>
                <w:rStyle w:val="Hyperlink"/>
                <w:noProof/>
              </w:rPr>
              <w:t>Change of Duty and Honorarium Scheme</w:t>
            </w:r>
            <w:r w:rsidR="00017933">
              <w:rPr>
                <w:noProof/>
                <w:webHidden/>
              </w:rPr>
              <w:tab/>
            </w:r>
            <w:r w:rsidR="00017933">
              <w:rPr>
                <w:noProof/>
                <w:webHidden/>
              </w:rPr>
              <w:fldChar w:fldCharType="begin"/>
            </w:r>
            <w:r w:rsidR="00017933">
              <w:rPr>
                <w:noProof/>
                <w:webHidden/>
              </w:rPr>
              <w:instrText xml:space="preserve"> PAGEREF _Toc134519910 \h </w:instrText>
            </w:r>
            <w:r w:rsidR="00017933">
              <w:rPr>
                <w:noProof/>
                <w:webHidden/>
              </w:rPr>
            </w:r>
            <w:r w:rsidR="00017933">
              <w:rPr>
                <w:noProof/>
                <w:webHidden/>
              </w:rPr>
              <w:fldChar w:fldCharType="separate"/>
            </w:r>
            <w:r w:rsidR="00023A77">
              <w:rPr>
                <w:noProof/>
                <w:webHidden/>
              </w:rPr>
              <w:t>3</w:t>
            </w:r>
            <w:r w:rsidR="00017933">
              <w:rPr>
                <w:noProof/>
                <w:webHidden/>
              </w:rPr>
              <w:fldChar w:fldCharType="end"/>
            </w:r>
          </w:hyperlink>
        </w:p>
        <w:p w14:paraId="16AC4C7A" w14:textId="7B506A9E" w:rsidR="00017933" w:rsidRDefault="008938A3" w:rsidP="00017933">
          <w:pPr>
            <w:pStyle w:val="TOC2"/>
            <w:rPr>
              <w:rFonts w:asciiTheme="minorHAnsi" w:eastAsiaTheme="minorEastAsia" w:hAnsiTheme="minorHAnsi"/>
              <w:noProof/>
              <w:sz w:val="22"/>
              <w:lang w:eastAsia="en-GB"/>
            </w:rPr>
          </w:pPr>
          <w:hyperlink w:anchor="_Toc134519911" w:history="1">
            <w:r w:rsidR="00017933" w:rsidRPr="00E15AA9">
              <w:rPr>
                <w:rStyle w:val="Hyperlink"/>
                <w:noProof/>
              </w:rPr>
              <w:t>2.3</w:t>
            </w:r>
            <w:r w:rsidR="00017933">
              <w:rPr>
                <w:rFonts w:asciiTheme="minorHAnsi" w:eastAsiaTheme="minorEastAsia" w:hAnsiTheme="minorHAnsi"/>
                <w:noProof/>
                <w:sz w:val="22"/>
                <w:lang w:eastAsia="en-GB"/>
              </w:rPr>
              <w:tab/>
            </w:r>
            <w:r w:rsidR="00017933" w:rsidRPr="00E15AA9">
              <w:rPr>
                <w:rStyle w:val="Hyperlink"/>
                <w:noProof/>
              </w:rPr>
              <w:t>Terms of Office</w:t>
            </w:r>
            <w:r w:rsidR="00017933">
              <w:rPr>
                <w:noProof/>
                <w:webHidden/>
              </w:rPr>
              <w:tab/>
            </w:r>
            <w:r w:rsidR="00017933">
              <w:rPr>
                <w:noProof/>
                <w:webHidden/>
              </w:rPr>
              <w:fldChar w:fldCharType="begin"/>
            </w:r>
            <w:r w:rsidR="00017933">
              <w:rPr>
                <w:noProof/>
                <w:webHidden/>
              </w:rPr>
              <w:instrText xml:space="preserve"> PAGEREF _Toc134519911 \h </w:instrText>
            </w:r>
            <w:r w:rsidR="00017933">
              <w:rPr>
                <w:noProof/>
                <w:webHidden/>
              </w:rPr>
            </w:r>
            <w:r w:rsidR="00017933">
              <w:rPr>
                <w:noProof/>
                <w:webHidden/>
              </w:rPr>
              <w:fldChar w:fldCharType="separate"/>
            </w:r>
            <w:r w:rsidR="00023A77">
              <w:rPr>
                <w:noProof/>
                <w:webHidden/>
              </w:rPr>
              <w:t>3</w:t>
            </w:r>
            <w:r w:rsidR="00017933">
              <w:rPr>
                <w:noProof/>
                <w:webHidden/>
              </w:rPr>
              <w:fldChar w:fldCharType="end"/>
            </w:r>
          </w:hyperlink>
        </w:p>
        <w:p w14:paraId="6AFE99E4" w14:textId="06B271E5" w:rsidR="00017933" w:rsidRDefault="008938A3">
          <w:pPr>
            <w:pStyle w:val="TOC1"/>
            <w:tabs>
              <w:tab w:val="left" w:pos="567"/>
              <w:tab w:val="right" w:leader="dot" w:pos="9016"/>
            </w:tabs>
            <w:rPr>
              <w:rFonts w:asciiTheme="minorHAnsi" w:eastAsiaTheme="minorEastAsia" w:hAnsiTheme="minorHAnsi"/>
              <w:b w:val="0"/>
              <w:noProof/>
              <w:sz w:val="22"/>
              <w:lang w:eastAsia="en-GB"/>
            </w:rPr>
          </w:pPr>
          <w:hyperlink w:anchor="_Toc134519912" w:history="1">
            <w:r w:rsidR="00017933" w:rsidRPr="00E15AA9">
              <w:rPr>
                <w:rStyle w:val="Hyperlink"/>
                <w:noProof/>
              </w:rPr>
              <w:t>3.</w:t>
            </w:r>
            <w:r w:rsidR="00017933">
              <w:rPr>
                <w:rFonts w:asciiTheme="minorHAnsi" w:eastAsiaTheme="minorEastAsia" w:hAnsiTheme="minorHAnsi"/>
                <w:b w:val="0"/>
                <w:noProof/>
                <w:sz w:val="22"/>
                <w:lang w:eastAsia="en-GB"/>
              </w:rPr>
              <w:tab/>
            </w:r>
            <w:r w:rsidR="00017933" w:rsidRPr="00E15AA9">
              <w:rPr>
                <w:rStyle w:val="Hyperlink"/>
                <w:noProof/>
              </w:rPr>
              <w:t>Induction</w:t>
            </w:r>
            <w:r w:rsidR="00017933">
              <w:rPr>
                <w:noProof/>
                <w:webHidden/>
              </w:rPr>
              <w:tab/>
            </w:r>
            <w:r w:rsidR="00017933">
              <w:rPr>
                <w:noProof/>
                <w:webHidden/>
              </w:rPr>
              <w:fldChar w:fldCharType="begin"/>
            </w:r>
            <w:r w:rsidR="00017933">
              <w:rPr>
                <w:noProof/>
                <w:webHidden/>
              </w:rPr>
              <w:instrText xml:space="preserve"> PAGEREF _Toc134519912 \h </w:instrText>
            </w:r>
            <w:r w:rsidR="00017933">
              <w:rPr>
                <w:noProof/>
                <w:webHidden/>
              </w:rPr>
            </w:r>
            <w:r w:rsidR="00017933">
              <w:rPr>
                <w:noProof/>
                <w:webHidden/>
              </w:rPr>
              <w:fldChar w:fldCharType="separate"/>
            </w:r>
            <w:r w:rsidR="00023A77">
              <w:rPr>
                <w:noProof/>
                <w:webHidden/>
              </w:rPr>
              <w:t>3</w:t>
            </w:r>
            <w:r w:rsidR="00017933">
              <w:rPr>
                <w:noProof/>
                <w:webHidden/>
              </w:rPr>
              <w:fldChar w:fldCharType="end"/>
            </w:r>
          </w:hyperlink>
        </w:p>
        <w:p w14:paraId="4462BB29" w14:textId="250F28B3" w:rsidR="00017933" w:rsidRDefault="008938A3">
          <w:pPr>
            <w:pStyle w:val="TOC1"/>
            <w:tabs>
              <w:tab w:val="left" w:pos="567"/>
              <w:tab w:val="right" w:leader="dot" w:pos="9016"/>
            </w:tabs>
            <w:rPr>
              <w:rFonts w:asciiTheme="minorHAnsi" w:eastAsiaTheme="minorEastAsia" w:hAnsiTheme="minorHAnsi"/>
              <w:b w:val="0"/>
              <w:noProof/>
              <w:sz w:val="22"/>
              <w:lang w:eastAsia="en-GB"/>
            </w:rPr>
          </w:pPr>
          <w:hyperlink w:anchor="_Toc134519913" w:history="1">
            <w:r w:rsidR="00017933" w:rsidRPr="00E15AA9">
              <w:rPr>
                <w:rStyle w:val="Hyperlink"/>
                <w:noProof/>
              </w:rPr>
              <w:t>4.</w:t>
            </w:r>
            <w:r w:rsidR="00017933">
              <w:rPr>
                <w:rFonts w:asciiTheme="minorHAnsi" w:eastAsiaTheme="minorEastAsia" w:hAnsiTheme="minorHAnsi"/>
                <w:b w:val="0"/>
                <w:noProof/>
                <w:sz w:val="22"/>
                <w:lang w:eastAsia="en-GB"/>
              </w:rPr>
              <w:tab/>
            </w:r>
            <w:r w:rsidR="00017933" w:rsidRPr="00E15AA9">
              <w:rPr>
                <w:rStyle w:val="Hyperlink"/>
                <w:noProof/>
              </w:rPr>
              <w:t>Role and Duties</w:t>
            </w:r>
            <w:r w:rsidR="00017933">
              <w:rPr>
                <w:noProof/>
                <w:webHidden/>
              </w:rPr>
              <w:tab/>
            </w:r>
            <w:r w:rsidR="00017933">
              <w:rPr>
                <w:noProof/>
                <w:webHidden/>
              </w:rPr>
              <w:fldChar w:fldCharType="begin"/>
            </w:r>
            <w:r w:rsidR="00017933">
              <w:rPr>
                <w:noProof/>
                <w:webHidden/>
              </w:rPr>
              <w:instrText xml:space="preserve"> PAGEREF _Toc134519913 \h </w:instrText>
            </w:r>
            <w:r w:rsidR="00017933">
              <w:rPr>
                <w:noProof/>
                <w:webHidden/>
              </w:rPr>
            </w:r>
            <w:r w:rsidR="00017933">
              <w:rPr>
                <w:noProof/>
                <w:webHidden/>
              </w:rPr>
              <w:fldChar w:fldCharType="separate"/>
            </w:r>
            <w:r w:rsidR="00023A77">
              <w:rPr>
                <w:noProof/>
                <w:webHidden/>
              </w:rPr>
              <w:t>5</w:t>
            </w:r>
            <w:r w:rsidR="00017933">
              <w:rPr>
                <w:noProof/>
                <w:webHidden/>
              </w:rPr>
              <w:fldChar w:fldCharType="end"/>
            </w:r>
          </w:hyperlink>
        </w:p>
        <w:p w14:paraId="1AB2ED23" w14:textId="2D5296BD" w:rsidR="00017933" w:rsidRDefault="008938A3" w:rsidP="00017933">
          <w:pPr>
            <w:pStyle w:val="TOC2"/>
            <w:rPr>
              <w:rFonts w:asciiTheme="minorHAnsi" w:eastAsiaTheme="minorEastAsia" w:hAnsiTheme="minorHAnsi"/>
              <w:noProof/>
              <w:sz w:val="22"/>
              <w:lang w:eastAsia="en-GB"/>
            </w:rPr>
          </w:pPr>
          <w:hyperlink w:anchor="_Toc134519914" w:history="1">
            <w:r w:rsidR="00017933" w:rsidRPr="00E15AA9">
              <w:rPr>
                <w:rStyle w:val="Hyperlink"/>
                <w:noProof/>
              </w:rPr>
              <w:t>4.1</w:t>
            </w:r>
            <w:r w:rsidR="00017933">
              <w:rPr>
                <w:rFonts w:asciiTheme="minorHAnsi" w:eastAsiaTheme="minorEastAsia" w:hAnsiTheme="minorHAnsi"/>
                <w:noProof/>
                <w:sz w:val="22"/>
                <w:lang w:eastAsia="en-GB"/>
              </w:rPr>
              <w:tab/>
            </w:r>
            <w:r w:rsidR="00017933" w:rsidRPr="00E15AA9">
              <w:rPr>
                <w:rStyle w:val="Hyperlink"/>
                <w:noProof/>
              </w:rPr>
              <w:t>Enhancement of Quality</w:t>
            </w:r>
            <w:r w:rsidR="00017933">
              <w:rPr>
                <w:noProof/>
                <w:webHidden/>
              </w:rPr>
              <w:tab/>
            </w:r>
            <w:r w:rsidR="00017933">
              <w:rPr>
                <w:noProof/>
                <w:webHidden/>
              </w:rPr>
              <w:fldChar w:fldCharType="begin"/>
            </w:r>
            <w:r w:rsidR="00017933">
              <w:rPr>
                <w:noProof/>
                <w:webHidden/>
              </w:rPr>
              <w:instrText xml:space="preserve"> PAGEREF _Toc134519914 \h </w:instrText>
            </w:r>
            <w:r w:rsidR="00017933">
              <w:rPr>
                <w:noProof/>
                <w:webHidden/>
              </w:rPr>
            </w:r>
            <w:r w:rsidR="00017933">
              <w:rPr>
                <w:noProof/>
                <w:webHidden/>
              </w:rPr>
              <w:fldChar w:fldCharType="separate"/>
            </w:r>
            <w:r w:rsidR="00023A77">
              <w:rPr>
                <w:noProof/>
                <w:webHidden/>
              </w:rPr>
              <w:t>5</w:t>
            </w:r>
            <w:r w:rsidR="00017933">
              <w:rPr>
                <w:noProof/>
                <w:webHidden/>
              </w:rPr>
              <w:fldChar w:fldCharType="end"/>
            </w:r>
          </w:hyperlink>
        </w:p>
        <w:p w14:paraId="5D401800" w14:textId="7648245B" w:rsidR="00017933" w:rsidRDefault="008938A3" w:rsidP="00017933">
          <w:pPr>
            <w:pStyle w:val="TOC2"/>
            <w:rPr>
              <w:rFonts w:asciiTheme="minorHAnsi" w:eastAsiaTheme="minorEastAsia" w:hAnsiTheme="minorHAnsi"/>
              <w:noProof/>
              <w:sz w:val="22"/>
              <w:lang w:eastAsia="en-GB"/>
            </w:rPr>
          </w:pPr>
          <w:hyperlink w:anchor="_Toc134519915" w:history="1">
            <w:r w:rsidR="00017933" w:rsidRPr="00E15AA9">
              <w:rPr>
                <w:rStyle w:val="Hyperlink"/>
                <w:noProof/>
              </w:rPr>
              <w:t>4.2</w:t>
            </w:r>
            <w:r w:rsidR="00017933">
              <w:rPr>
                <w:rFonts w:asciiTheme="minorHAnsi" w:eastAsiaTheme="minorEastAsia" w:hAnsiTheme="minorHAnsi"/>
                <w:noProof/>
                <w:sz w:val="22"/>
                <w:lang w:eastAsia="en-GB"/>
              </w:rPr>
              <w:tab/>
            </w:r>
            <w:r w:rsidR="00017933" w:rsidRPr="00E15AA9">
              <w:rPr>
                <w:rStyle w:val="Hyperlink"/>
                <w:noProof/>
              </w:rPr>
              <w:t>Scrutiny of Marking</w:t>
            </w:r>
            <w:r w:rsidR="00017933">
              <w:rPr>
                <w:noProof/>
                <w:webHidden/>
              </w:rPr>
              <w:tab/>
            </w:r>
            <w:r w:rsidR="00017933">
              <w:rPr>
                <w:noProof/>
                <w:webHidden/>
              </w:rPr>
              <w:fldChar w:fldCharType="begin"/>
            </w:r>
            <w:r w:rsidR="00017933">
              <w:rPr>
                <w:noProof/>
                <w:webHidden/>
              </w:rPr>
              <w:instrText xml:space="preserve"> PAGEREF _Toc134519915 \h </w:instrText>
            </w:r>
            <w:r w:rsidR="00017933">
              <w:rPr>
                <w:noProof/>
                <w:webHidden/>
              </w:rPr>
            </w:r>
            <w:r w:rsidR="00017933">
              <w:rPr>
                <w:noProof/>
                <w:webHidden/>
              </w:rPr>
              <w:fldChar w:fldCharType="separate"/>
            </w:r>
            <w:r w:rsidR="00023A77">
              <w:rPr>
                <w:noProof/>
                <w:webHidden/>
              </w:rPr>
              <w:t>5</w:t>
            </w:r>
            <w:r w:rsidR="00017933">
              <w:rPr>
                <w:noProof/>
                <w:webHidden/>
              </w:rPr>
              <w:fldChar w:fldCharType="end"/>
            </w:r>
          </w:hyperlink>
        </w:p>
        <w:p w14:paraId="7EE5B25B" w14:textId="06D5D94B" w:rsidR="00017933" w:rsidRDefault="008938A3" w:rsidP="00017933">
          <w:pPr>
            <w:pStyle w:val="TOC2"/>
            <w:rPr>
              <w:rFonts w:asciiTheme="minorHAnsi" w:eastAsiaTheme="minorEastAsia" w:hAnsiTheme="minorHAnsi"/>
              <w:noProof/>
              <w:sz w:val="22"/>
              <w:lang w:eastAsia="en-GB"/>
            </w:rPr>
          </w:pPr>
          <w:hyperlink w:anchor="_Toc134519916" w:history="1">
            <w:r w:rsidR="00017933" w:rsidRPr="00E15AA9">
              <w:rPr>
                <w:rStyle w:val="Hyperlink"/>
                <w:noProof/>
              </w:rPr>
              <w:t>4.3</w:t>
            </w:r>
            <w:r w:rsidR="00017933">
              <w:rPr>
                <w:rFonts w:asciiTheme="minorHAnsi" w:eastAsiaTheme="minorEastAsia" w:hAnsiTheme="minorHAnsi"/>
                <w:noProof/>
                <w:sz w:val="22"/>
                <w:lang w:eastAsia="en-GB"/>
              </w:rPr>
              <w:tab/>
            </w:r>
            <w:r w:rsidR="00017933" w:rsidRPr="00E15AA9">
              <w:rPr>
                <w:rStyle w:val="Hyperlink"/>
                <w:noProof/>
              </w:rPr>
              <w:t>Assessment and Reassessment Boards</w:t>
            </w:r>
            <w:r w:rsidR="00017933">
              <w:rPr>
                <w:noProof/>
                <w:webHidden/>
              </w:rPr>
              <w:tab/>
            </w:r>
            <w:r w:rsidR="00017933">
              <w:rPr>
                <w:noProof/>
                <w:webHidden/>
              </w:rPr>
              <w:fldChar w:fldCharType="begin"/>
            </w:r>
            <w:r w:rsidR="00017933">
              <w:rPr>
                <w:noProof/>
                <w:webHidden/>
              </w:rPr>
              <w:instrText xml:space="preserve"> PAGEREF _Toc134519916 \h </w:instrText>
            </w:r>
            <w:r w:rsidR="00017933">
              <w:rPr>
                <w:noProof/>
                <w:webHidden/>
              </w:rPr>
            </w:r>
            <w:r w:rsidR="00017933">
              <w:rPr>
                <w:noProof/>
                <w:webHidden/>
              </w:rPr>
              <w:fldChar w:fldCharType="separate"/>
            </w:r>
            <w:r w:rsidR="00023A77">
              <w:rPr>
                <w:noProof/>
                <w:webHidden/>
              </w:rPr>
              <w:t>6</w:t>
            </w:r>
            <w:r w:rsidR="00017933">
              <w:rPr>
                <w:noProof/>
                <w:webHidden/>
              </w:rPr>
              <w:fldChar w:fldCharType="end"/>
            </w:r>
          </w:hyperlink>
        </w:p>
        <w:p w14:paraId="4CF83EA6" w14:textId="2780E384" w:rsidR="00017933" w:rsidRDefault="008938A3">
          <w:pPr>
            <w:pStyle w:val="TOC1"/>
            <w:tabs>
              <w:tab w:val="left" w:pos="567"/>
              <w:tab w:val="right" w:leader="dot" w:pos="9016"/>
            </w:tabs>
            <w:rPr>
              <w:rFonts w:asciiTheme="minorHAnsi" w:eastAsiaTheme="minorEastAsia" w:hAnsiTheme="minorHAnsi"/>
              <w:b w:val="0"/>
              <w:noProof/>
              <w:sz w:val="22"/>
              <w:lang w:eastAsia="en-GB"/>
            </w:rPr>
          </w:pPr>
          <w:hyperlink w:anchor="_Toc134519917" w:history="1">
            <w:r w:rsidR="00017933" w:rsidRPr="00E15AA9">
              <w:rPr>
                <w:rStyle w:val="Hyperlink"/>
                <w:noProof/>
              </w:rPr>
              <w:t>5.</w:t>
            </w:r>
            <w:r w:rsidR="00017933">
              <w:rPr>
                <w:rFonts w:asciiTheme="minorHAnsi" w:eastAsiaTheme="minorEastAsia" w:hAnsiTheme="minorHAnsi"/>
                <w:b w:val="0"/>
                <w:noProof/>
                <w:sz w:val="22"/>
                <w:lang w:eastAsia="en-GB"/>
              </w:rPr>
              <w:tab/>
            </w:r>
            <w:r w:rsidR="00017933" w:rsidRPr="00E15AA9">
              <w:rPr>
                <w:rStyle w:val="Hyperlink"/>
                <w:noProof/>
              </w:rPr>
              <w:t>External Examiner Reporting</w:t>
            </w:r>
            <w:r w:rsidR="00017933">
              <w:rPr>
                <w:noProof/>
                <w:webHidden/>
              </w:rPr>
              <w:tab/>
            </w:r>
            <w:r w:rsidR="00017933">
              <w:rPr>
                <w:noProof/>
                <w:webHidden/>
              </w:rPr>
              <w:fldChar w:fldCharType="begin"/>
            </w:r>
            <w:r w:rsidR="00017933">
              <w:rPr>
                <w:noProof/>
                <w:webHidden/>
              </w:rPr>
              <w:instrText xml:space="preserve"> PAGEREF _Toc134519917 \h </w:instrText>
            </w:r>
            <w:r w:rsidR="00017933">
              <w:rPr>
                <w:noProof/>
                <w:webHidden/>
              </w:rPr>
            </w:r>
            <w:r w:rsidR="00017933">
              <w:rPr>
                <w:noProof/>
                <w:webHidden/>
              </w:rPr>
              <w:fldChar w:fldCharType="separate"/>
            </w:r>
            <w:r w:rsidR="00023A77">
              <w:rPr>
                <w:noProof/>
                <w:webHidden/>
              </w:rPr>
              <w:t>7</w:t>
            </w:r>
            <w:r w:rsidR="00017933">
              <w:rPr>
                <w:noProof/>
                <w:webHidden/>
              </w:rPr>
              <w:fldChar w:fldCharType="end"/>
            </w:r>
          </w:hyperlink>
        </w:p>
        <w:p w14:paraId="6A884E3A" w14:textId="534DFC9A" w:rsidR="00017933" w:rsidRDefault="008938A3" w:rsidP="00017933">
          <w:pPr>
            <w:pStyle w:val="TOC2"/>
            <w:rPr>
              <w:rFonts w:asciiTheme="minorHAnsi" w:eastAsiaTheme="minorEastAsia" w:hAnsiTheme="minorHAnsi"/>
              <w:noProof/>
              <w:sz w:val="22"/>
              <w:lang w:eastAsia="en-GB"/>
            </w:rPr>
          </w:pPr>
          <w:hyperlink w:anchor="_Toc134519918" w:history="1">
            <w:r w:rsidR="00017933" w:rsidRPr="00E15AA9">
              <w:rPr>
                <w:rStyle w:val="Hyperlink"/>
                <w:noProof/>
              </w:rPr>
              <w:t>5.1</w:t>
            </w:r>
            <w:r w:rsidR="00017933">
              <w:rPr>
                <w:rFonts w:asciiTheme="minorHAnsi" w:eastAsiaTheme="minorEastAsia" w:hAnsiTheme="minorHAnsi"/>
                <w:noProof/>
                <w:sz w:val="22"/>
                <w:lang w:eastAsia="en-GB"/>
              </w:rPr>
              <w:tab/>
            </w:r>
            <w:r w:rsidR="00017933" w:rsidRPr="00E15AA9">
              <w:rPr>
                <w:rStyle w:val="Hyperlink"/>
                <w:noProof/>
              </w:rPr>
              <w:t>Annual Reporting</w:t>
            </w:r>
            <w:r w:rsidR="00017933">
              <w:rPr>
                <w:noProof/>
                <w:webHidden/>
              </w:rPr>
              <w:tab/>
            </w:r>
            <w:r w:rsidR="00640F46">
              <w:rPr>
                <w:noProof/>
                <w:webHidden/>
              </w:rPr>
              <w:t>8</w:t>
            </w:r>
          </w:hyperlink>
        </w:p>
        <w:p w14:paraId="0A2E04CE" w14:textId="465CAC28" w:rsidR="00017933" w:rsidRDefault="008938A3" w:rsidP="00017933">
          <w:pPr>
            <w:pStyle w:val="TOC2"/>
            <w:rPr>
              <w:rFonts w:asciiTheme="minorHAnsi" w:eastAsiaTheme="minorEastAsia" w:hAnsiTheme="minorHAnsi"/>
              <w:noProof/>
              <w:sz w:val="22"/>
              <w:lang w:eastAsia="en-GB"/>
            </w:rPr>
          </w:pPr>
          <w:hyperlink w:anchor="_Toc134519919" w:history="1">
            <w:r w:rsidR="00017933" w:rsidRPr="00E15AA9">
              <w:rPr>
                <w:rStyle w:val="Hyperlink"/>
                <w:noProof/>
              </w:rPr>
              <w:t>5.2</w:t>
            </w:r>
            <w:r w:rsidR="00017933">
              <w:rPr>
                <w:rFonts w:asciiTheme="minorHAnsi" w:eastAsiaTheme="minorEastAsia" w:hAnsiTheme="minorHAnsi"/>
                <w:noProof/>
                <w:sz w:val="22"/>
                <w:lang w:eastAsia="en-GB"/>
              </w:rPr>
              <w:tab/>
            </w:r>
            <w:r w:rsidR="00017933" w:rsidRPr="00E15AA9">
              <w:rPr>
                <w:rStyle w:val="Hyperlink"/>
                <w:noProof/>
              </w:rPr>
              <w:t>Consideration of External Examiner Reports</w:t>
            </w:r>
            <w:r w:rsidR="00017933">
              <w:rPr>
                <w:noProof/>
                <w:webHidden/>
              </w:rPr>
              <w:tab/>
            </w:r>
            <w:r w:rsidR="00017933">
              <w:rPr>
                <w:noProof/>
                <w:webHidden/>
              </w:rPr>
              <w:fldChar w:fldCharType="begin"/>
            </w:r>
            <w:r w:rsidR="00017933">
              <w:rPr>
                <w:noProof/>
                <w:webHidden/>
              </w:rPr>
              <w:instrText xml:space="preserve"> PAGEREF _Toc134519919 \h </w:instrText>
            </w:r>
            <w:r w:rsidR="00017933">
              <w:rPr>
                <w:noProof/>
                <w:webHidden/>
              </w:rPr>
            </w:r>
            <w:r w:rsidR="00017933">
              <w:rPr>
                <w:noProof/>
                <w:webHidden/>
              </w:rPr>
              <w:fldChar w:fldCharType="separate"/>
            </w:r>
            <w:r w:rsidR="00023A77">
              <w:rPr>
                <w:noProof/>
                <w:webHidden/>
              </w:rPr>
              <w:t>9</w:t>
            </w:r>
            <w:r w:rsidR="00017933">
              <w:rPr>
                <w:noProof/>
                <w:webHidden/>
              </w:rPr>
              <w:fldChar w:fldCharType="end"/>
            </w:r>
          </w:hyperlink>
        </w:p>
        <w:p w14:paraId="227AFE5F" w14:textId="76B1F664" w:rsidR="00017933" w:rsidRDefault="008938A3">
          <w:pPr>
            <w:pStyle w:val="TOC1"/>
            <w:tabs>
              <w:tab w:val="left" w:pos="567"/>
              <w:tab w:val="right" w:leader="dot" w:pos="9016"/>
            </w:tabs>
            <w:rPr>
              <w:rFonts w:asciiTheme="minorHAnsi" w:eastAsiaTheme="minorEastAsia" w:hAnsiTheme="minorHAnsi"/>
              <w:b w:val="0"/>
              <w:noProof/>
              <w:sz w:val="22"/>
              <w:lang w:eastAsia="en-GB"/>
            </w:rPr>
          </w:pPr>
          <w:hyperlink w:anchor="_Toc134519920" w:history="1">
            <w:r w:rsidR="00017933" w:rsidRPr="00E15AA9">
              <w:rPr>
                <w:rStyle w:val="Hyperlink"/>
                <w:noProof/>
              </w:rPr>
              <w:t>6.</w:t>
            </w:r>
            <w:r w:rsidR="00017933">
              <w:rPr>
                <w:rFonts w:asciiTheme="minorHAnsi" w:eastAsiaTheme="minorEastAsia" w:hAnsiTheme="minorHAnsi"/>
                <w:b w:val="0"/>
                <w:noProof/>
                <w:sz w:val="22"/>
                <w:lang w:eastAsia="en-GB"/>
              </w:rPr>
              <w:tab/>
            </w:r>
            <w:r w:rsidR="00017933" w:rsidRPr="00E15AA9">
              <w:rPr>
                <w:rStyle w:val="Hyperlink"/>
                <w:noProof/>
              </w:rPr>
              <w:t>Causes for Concern</w:t>
            </w:r>
            <w:r w:rsidR="00017933">
              <w:rPr>
                <w:noProof/>
                <w:webHidden/>
              </w:rPr>
              <w:tab/>
            </w:r>
            <w:r w:rsidR="00017933">
              <w:rPr>
                <w:noProof/>
                <w:webHidden/>
              </w:rPr>
              <w:fldChar w:fldCharType="begin"/>
            </w:r>
            <w:r w:rsidR="00017933">
              <w:rPr>
                <w:noProof/>
                <w:webHidden/>
              </w:rPr>
              <w:instrText xml:space="preserve"> PAGEREF _Toc134519920 \h </w:instrText>
            </w:r>
            <w:r w:rsidR="00017933">
              <w:rPr>
                <w:noProof/>
                <w:webHidden/>
              </w:rPr>
            </w:r>
            <w:r w:rsidR="00017933">
              <w:rPr>
                <w:noProof/>
                <w:webHidden/>
              </w:rPr>
              <w:fldChar w:fldCharType="separate"/>
            </w:r>
            <w:r w:rsidR="00023A77">
              <w:rPr>
                <w:noProof/>
                <w:webHidden/>
              </w:rPr>
              <w:t>9</w:t>
            </w:r>
            <w:r w:rsidR="00017933">
              <w:rPr>
                <w:noProof/>
                <w:webHidden/>
              </w:rPr>
              <w:fldChar w:fldCharType="end"/>
            </w:r>
          </w:hyperlink>
        </w:p>
        <w:p w14:paraId="637D4A71" w14:textId="3F0D9ED4" w:rsidR="00017933" w:rsidRDefault="008938A3">
          <w:pPr>
            <w:pStyle w:val="TOC1"/>
            <w:tabs>
              <w:tab w:val="left" w:pos="567"/>
              <w:tab w:val="right" w:leader="dot" w:pos="9016"/>
            </w:tabs>
            <w:rPr>
              <w:rFonts w:asciiTheme="minorHAnsi" w:eastAsiaTheme="minorEastAsia" w:hAnsiTheme="minorHAnsi"/>
              <w:b w:val="0"/>
              <w:noProof/>
              <w:sz w:val="22"/>
              <w:lang w:eastAsia="en-GB"/>
            </w:rPr>
          </w:pPr>
          <w:hyperlink w:anchor="_Toc134519921" w:history="1">
            <w:r w:rsidR="00017933" w:rsidRPr="00E15AA9">
              <w:rPr>
                <w:rStyle w:val="Hyperlink"/>
                <w:noProof/>
              </w:rPr>
              <w:t>7.</w:t>
            </w:r>
            <w:r w:rsidR="00017933">
              <w:rPr>
                <w:rFonts w:asciiTheme="minorHAnsi" w:eastAsiaTheme="minorEastAsia" w:hAnsiTheme="minorHAnsi"/>
                <w:b w:val="0"/>
                <w:noProof/>
                <w:sz w:val="22"/>
                <w:lang w:eastAsia="en-GB"/>
              </w:rPr>
              <w:tab/>
            </w:r>
            <w:r w:rsidR="00017933" w:rsidRPr="00E15AA9">
              <w:rPr>
                <w:rStyle w:val="Hyperlink"/>
                <w:noProof/>
              </w:rPr>
              <w:t>Fees and Expenses</w:t>
            </w:r>
            <w:r w:rsidR="00017933">
              <w:rPr>
                <w:noProof/>
                <w:webHidden/>
              </w:rPr>
              <w:tab/>
            </w:r>
            <w:r w:rsidR="00017933">
              <w:rPr>
                <w:noProof/>
                <w:webHidden/>
              </w:rPr>
              <w:fldChar w:fldCharType="begin"/>
            </w:r>
            <w:r w:rsidR="00017933">
              <w:rPr>
                <w:noProof/>
                <w:webHidden/>
              </w:rPr>
              <w:instrText xml:space="preserve"> PAGEREF _Toc134519921 \h </w:instrText>
            </w:r>
            <w:r w:rsidR="00017933">
              <w:rPr>
                <w:noProof/>
                <w:webHidden/>
              </w:rPr>
            </w:r>
            <w:r w:rsidR="00017933">
              <w:rPr>
                <w:noProof/>
                <w:webHidden/>
              </w:rPr>
              <w:fldChar w:fldCharType="separate"/>
            </w:r>
            <w:r w:rsidR="00023A77">
              <w:rPr>
                <w:noProof/>
                <w:webHidden/>
              </w:rPr>
              <w:t>10</w:t>
            </w:r>
            <w:r w:rsidR="00017933">
              <w:rPr>
                <w:noProof/>
                <w:webHidden/>
              </w:rPr>
              <w:fldChar w:fldCharType="end"/>
            </w:r>
          </w:hyperlink>
        </w:p>
        <w:p w14:paraId="589DB946" w14:textId="78F938DF" w:rsidR="00017933" w:rsidRDefault="008938A3" w:rsidP="00017933">
          <w:pPr>
            <w:pStyle w:val="TOC2"/>
            <w:rPr>
              <w:rFonts w:asciiTheme="minorHAnsi" w:eastAsiaTheme="minorEastAsia" w:hAnsiTheme="minorHAnsi"/>
              <w:noProof/>
              <w:sz w:val="22"/>
              <w:lang w:eastAsia="en-GB"/>
            </w:rPr>
          </w:pPr>
          <w:hyperlink w:anchor="_Toc134519922" w:history="1">
            <w:r w:rsidR="00017933" w:rsidRPr="00E15AA9">
              <w:rPr>
                <w:rStyle w:val="Hyperlink"/>
                <w:noProof/>
              </w:rPr>
              <w:t>7.1</w:t>
            </w:r>
            <w:r w:rsidR="00017933">
              <w:rPr>
                <w:rFonts w:asciiTheme="minorHAnsi" w:eastAsiaTheme="minorEastAsia" w:hAnsiTheme="minorHAnsi"/>
                <w:noProof/>
                <w:sz w:val="22"/>
                <w:lang w:eastAsia="en-GB"/>
              </w:rPr>
              <w:tab/>
            </w:r>
            <w:r w:rsidR="00017933" w:rsidRPr="00E15AA9">
              <w:rPr>
                <w:rStyle w:val="Hyperlink"/>
                <w:noProof/>
              </w:rPr>
              <w:t>Fees and Honorarium Scheme</w:t>
            </w:r>
            <w:r w:rsidR="00017933">
              <w:rPr>
                <w:noProof/>
                <w:webHidden/>
              </w:rPr>
              <w:tab/>
            </w:r>
            <w:r w:rsidR="00017933">
              <w:rPr>
                <w:noProof/>
                <w:webHidden/>
              </w:rPr>
              <w:fldChar w:fldCharType="begin"/>
            </w:r>
            <w:r w:rsidR="00017933">
              <w:rPr>
                <w:noProof/>
                <w:webHidden/>
              </w:rPr>
              <w:instrText xml:space="preserve"> PAGEREF _Toc134519922 \h </w:instrText>
            </w:r>
            <w:r w:rsidR="00017933">
              <w:rPr>
                <w:noProof/>
                <w:webHidden/>
              </w:rPr>
            </w:r>
            <w:r w:rsidR="00017933">
              <w:rPr>
                <w:noProof/>
                <w:webHidden/>
              </w:rPr>
              <w:fldChar w:fldCharType="separate"/>
            </w:r>
            <w:r w:rsidR="00023A77">
              <w:rPr>
                <w:noProof/>
                <w:webHidden/>
              </w:rPr>
              <w:t>10</w:t>
            </w:r>
            <w:r w:rsidR="00017933">
              <w:rPr>
                <w:noProof/>
                <w:webHidden/>
              </w:rPr>
              <w:fldChar w:fldCharType="end"/>
            </w:r>
          </w:hyperlink>
        </w:p>
        <w:p w14:paraId="35D9A5AC" w14:textId="374D9428" w:rsidR="00017933" w:rsidRDefault="008938A3" w:rsidP="00017933">
          <w:pPr>
            <w:pStyle w:val="TOC2"/>
            <w:rPr>
              <w:rFonts w:asciiTheme="minorHAnsi" w:eastAsiaTheme="minorEastAsia" w:hAnsiTheme="minorHAnsi"/>
              <w:noProof/>
              <w:sz w:val="22"/>
              <w:lang w:eastAsia="en-GB"/>
            </w:rPr>
          </w:pPr>
          <w:hyperlink w:anchor="_Toc134519923" w:history="1">
            <w:r w:rsidR="00017933" w:rsidRPr="00E15AA9">
              <w:rPr>
                <w:rStyle w:val="Hyperlink"/>
                <w:noProof/>
              </w:rPr>
              <w:t>7.2</w:t>
            </w:r>
            <w:r w:rsidR="00017933">
              <w:rPr>
                <w:rFonts w:asciiTheme="minorHAnsi" w:eastAsiaTheme="minorEastAsia" w:hAnsiTheme="minorHAnsi"/>
                <w:noProof/>
                <w:sz w:val="22"/>
                <w:lang w:eastAsia="en-GB"/>
              </w:rPr>
              <w:tab/>
            </w:r>
            <w:r w:rsidR="00017933" w:rsidRPr="00E15AA9">
              <w:rPr>
                <w:rStyle w:val="Hyperlink"/>
                <w:noProof/>
              </w:rPr>
              <w:t>Expenses</w:t>
            </w:r>
            <w:r w:rsidR="00017933">
              <w:rPr>
                <w:noProof/>
                <w:webHidden/>
              </w:rPr>
              <w:tab/>
            </w:r>
            <w:r w:rsidR="00017933">
              <w:rPr>
                <w:noProof/>
                <w:webHidden/>
              </w:rPr>
              <w:fldChar w:fldCharType="begin"/>
            </w:r>
            <w:r w:rsidR="00017933">
              <w:rPr>
                <w:noProof/>
                <w:webHidden/>
              </w:rPr>
              <w:instrText xml:space="preserve"> PAGEREF _Toc134519923 \h </w:instrText>
            </w:r>
            <w:r w:rsidR="00017933">
              <w:rPr>
                <w:noProof/>
                <w:webHidden/>
              </w:rPr>
            </w:r>
            <w:r w:rsidR="00017933">
              <w:rPr>
                <w:noProof/>
                <w:webHidden/>
              </w:rPr>
              <w:fldChar w:fldCharType="separate"/>
            </w:r>
            <w:r w:rsidR="00023A77">
              <w:rPr>
                <w:noProof/>
                <w:webHidden/>
              </w:rPr>
              <w:t>10</w:t>
            </w:r>
            <w:r w:rsidR="00017933">
              <w:rPr>
                <w:noProof/>
                <w:webHidden/>
              </w:rPr>
              <w:fldChar w:fldCharType="end"/>
            </w:r>
          </w:hyperlink>
        </w:p>
        <w:p w14:paraId="79B578E5" w14:textId="6DFCC4AE" w:rsidR="00017933" w:rsidRDefault="008938A3">
          <w:pPr>
            <w:pStyle w:val="TOC1"/>
            <w:tabs>
              <w:tab w:val="left" w:pos="567"/>
              <w:tab w:val="right" w:leader="dot" w:pos="9016"/>
            </w:tabs>
            <w:rPr>
              <w:rFonts w:asciiTheme="minorHAnsi" w:eastAsiaTheme="minorEastAsia" w:hAnsiTheme="minorHAnsi"/>
              <w:b w:val="0"/>
              <w:noProof/>
              <w:sz w:val="22"/>
              <w:lang w:eastAsia="en-GB"/>
            </w:rPr>
          </w:pPr>
          <w:hyperlink w:anchor="_Toc134519924" w:history="1">
            <w:r w:rsidR="00017933" w:rsidRPr="00E15AA9">
              <w:rPr>
                <w:rStyle w:val="Hyperlink"/>
                <w:noProof/>
              </w:rPr>
              <w:t>8.</w:t>
            </w:r>
            <w:r w:rsidR="00017933">
              <w:rPr>
                <w:rFonts w:asciiTheme="minorHAnsi" w:eastAsiaTheme="minorEastAsia" w:hAnsiTheme="minorHAnsi"/>
                <w:b w:val="0"/>
                <w:noProof/>
                <w:sz w:val="22"/>
                <w:lang w:eastAsia="en-GB"/>
              </w:rPr>
              <w:tab/>
            </w:r>
            <w:r w:rsidR="00017933" w:rsidRPr="00E15AA9">
              <w:rPr>
                <w:rStyle w:val="Hyperlink"/>
                <w:noProof/>
              </w:rPr>
              <w:t>Information Provided to Students</w:t>
            </w:r>
            <w:r w:rsidR="00017933">
              <w:rPr>
                <w:noProof/>
                <w:webHidden/>
              </w:rPr>
              <w:tab/>
            </w:r>
            <w:r w:rsidR="00017933">
              <w:rPr>
                <w:noProof/>
                <w:webHidden/>
              </w:rPr>
              <w:fldChar w:fldCharType="begin"/>
            </w:r>
            <w:r w:rsidR="00017933">
              <w:rPr>
                <w:noProof/>
                <w:webHidden/>
              </w:rPr>
              <w:instrText xml:space="preserve"> PAGEREF _Toc134519924 \h </w:instrText>
            </w:r>
            <w:r w:rsidR="00017933">
              <w:rPr>
                <w:noProof/>
                <w:webHidden/>
              </w:rPr>
            </w:r>
            <w:r w:rsidR="00017933">
              <w:rPr>
                <w:noProof/>
                <w:webHidden/>
              </w:rPr>
              <w:fldChar w:fldCharType="separate"/>
            </w:r>
            <w:r w:rsidR="00023A77">
              <w:rPr>
                <w:noProof/>
                <w:webHidden/>
              </w:rPr>
              <w:t>10</w:t>
            </w:r>
            <w:r w:rsidR="00017933">
              <w:rPr>
                <w:noProof/>
                <w:webHidden/>
              </w:rPr>
              <w:fldChar w:fldCharType="end"/>
            </w:r>
          </w:hyperlink>
        </w:p>
        <w:p w14:paraId="41EBD8FC" w14:textId="018FC433" w:rsidR="00017933" w:rsidRDefault="008938A3">
          <w:pPr>
            <w:pStyle w:val="TOC1"/>
            <w:tabs>
              <w:tab w:val="left" w:pos="567"/>
              <w:tab w:val="right" w:leader="dot" w:pos="9016"/>
            </w:tabs>
            <w:rPr>
              <w:rFonts w:asciiTheme="minorHAnsi" w:eastAsiaTheme="minorEastAsia" w:hAnsiTheme="minorHAnsi"/>
              <w:b w:val="0"/>
              <w:noProof/>
              <w:sz w:val="22"/>
              <w:lang w:eastAsia="en-GB"/>
            </w:rPr>
          </w:pPr>
          <w:hyperlink w:anchor="_Toc134519925" w:history="1">
            <w:r w:rsidR="00017933" w:rsidRPr="00E15AA9">
              <w:rPr>
                <w:rStyle w:val="Hyperlink"/>
                <w:noProof/>
              </w:rPr>
              <w:t>9.</w:t>
            </w:r>
            <w:r w:rsidR="00017933">
              <w:rPr>
                <w:rFonts w:asciiTheme="minorHAnsi" w:eastAsiaTheme="minorEastAsia" w:hAnsiTheme="minorHAnsi"/>
                <w:b w:val="0"/>
                <w:noProof/>
                <w:sz w:val="22"/>
                <w:lang w:eastAsia="en-GB"/>
              </w:rPr>
              <w:tab/>
            </w:r>
            <w:r w:rsidR="00017933" w:rsidRPr="00E15AA9">
              <w:rPr>
                <w:rStyle w:val="Hyperlink"/>
                <w:noProof/>
              </w:rPr>
              <w:t>Data Protection and Freedom of Information</w:t>
            </w:r>
            <w:r w:rsidR="00017933">
              <w:rPr>
                <w:noProof/>
                <w:webHidden/>
              </w:rPr>
              <w:tab/>
            </w:r>
            <w:r w:rsidR="00017933">
              <w:rPr>
                <w:noProof/>
                <w:webHidden/>
              </w:rPr>
              <w:fldChar w:fldCharType="begin"/>
            </w:r>
            <w:r w:rsidR="00017933">
              <w:rPr>
                <w:noProof/>
                <w:webHidden/>
              </w:rPr>
              <w:instrText xml:space="preserve"> PAGEREF _Toc134519925 \h </w:instrText>
            </w:r>
            <w:r w:rsidR="00017933">
              <w:rPr>
                <w:noProof/>
                <w:webHidden/>
              </w:rPr>
            </w:r>
            <w:r w:rsidR="00017933">
              <w:rPr>
                <w:noProof/>
                <w:webHidden/>
              </w:rPr>
              <w:fldChar w:fldCharType="separate"/>
            </w:r>
            <w:r w:rsidR="00023A77">
              <w:rPr>
                <w:noProof/>
                <w:webHidden/>
              </w:rPr>
              <w:t>11</w:t>
            </w:r>
            <w:r w:rsidR="00017933">
              <w:rPr>
                <w:noProof/>
                <w:webHidden/>
              </w:rPr>
              <w:fldChar w:fldCharType="end"/>
            </w:r>
          </w:hyperlink>
        </w:p>
        <w:p w14:paraId="0FF015B0" w14:textId="4E71D432" w:rsidR="00017933" w:rsidRDefault="008938A3">
          <w:pPr>
            <w:pStyle w:val="TOC1"/>
            <w:tabs>
              <w:tab w:val="left" w:pos="567"/>
              <w:tab w:val="right" w:leader="dot" w:pos="9016"/>
            </w:tabs>
            <w:rPr>
              <w:rFonts w:asciiTheme="minorHAnsi" w:eastAsiaTheme="minorEastAsia" w:hAnsiTheme="minorHAnsi"/>
              <w:b w:val="0"/>
              <w:noProof/>
              <w:sz w:val="22"/>
              <w:lang w:eastAsia="en-GB"/>
            </w:rPr>
          </w:pPr>
          <w:hyperlink w:anchor="_Toc134519926" w:history="1">
            <w:r w:rsidR="00017933" w:rsidRPr="00E15AA9">
              <w:rPr>
                <w:rStyle w:val="Hyperlink"/>
                <w:noProof/>
              </w:rPr>
              <w:t>10.</w:t>
            </w:r>
            <w:r w:rsidR="00017933">
              <w:rPr>
                <w:rFonts w:asciiTheme="minorHAnsi" w:eastAsiaTheme="minorEastAsia" w:hAnsiTheme="minorHAnsi"/>
                <w:b w:val="0"/>
                <w:noProof/>
                <w:sz w:val="22"/>
                <w:lang w:eastAsia="en-GB"/>
              </w:rPr>
              <w:tab/>
            </w:r>
            <w:r w:rsidR="00017933" w:rsidRPr="00E15AA9">
              <w:rPr>
                <w:rStyle w:val="Hyperlink"/>
                <w:noProof/>
              </w:rPr>
              <w:t>Confidentiality and Non-Disclosure Agreements</w:t>
            </w:r>
            <w:r w:rsidR="00017933">
              <w:rPr>
                <w:noProof/>
                <w:webHidden/>
              </w:rPr>
              <w:tab/>
            </w:r>
            <w:r w:rsidR="00017933">
              <w:rPr>
                <w:noProof/>
                <w:webHidden/>
              </w:rPr>
              <w:fldChar w:fldCharType="begin"/>
            </w:r>
            <w:r w:rsidR="00017933">
              <w:rPr>
                <w:noProof/>
                <w:webHidden/>
              </w:rPr>
              <w:instrText xml:space="preserve"> PAGEREF _Toc134519926 \h </w:instrText>
            </w:r>
            <w:r w:rsidR="00017933">
              <w:rPr>
                <w:noProof/>
                <w:webHidden/>
              </w:rPr>
            </w:r>
            <w:r w:rsidR="00017933">
              <w:rPr>
                <w:noProof/>
                <w:webHidden/>
              </w:rPr>
              <w:fldChar w:fldCharType="separate"/>
            </w:r>
            <w:r w:rsidR="00023A77">
              <w:rPr>
                <w:noProof/>
                <w:webHidden/>
              </w:rPr>
              <w:t>11</w:t>
            </w:r>
            <w:r w:rsidR="00017933">
              <w:rPr>
                <w:noProof/>
                <w:webHidden/>
              </w:rPr>
              <w:fldChar w:fldCharType="end"/>
            </w:r>
          </w:hyperlink>
        </w:p>
        <w:p w14:paraId="3772250A" w14:textId="0F162A22" w:rsidR="006E1808" w:rsidRDefault="00283B0A">
          <w:r>
            <w:rPr>
              <w:b/>
            </w:rPr>
            <w:fldChar w:fldCharType="end"/>
          </w:r>
        </w:p>
      </w:sdtContent>
    </w:sdt>
    <w:p w14:paraId="6013A914" w14:textId="77777777" w:rsidR="009C175C" w:rsidRDefault="009C175C">
      <w:pPr>
        <w:sectPr w:rsidR="009C175C" w:rsidSect="009C175C">
          <w:footerReference w:type="default" r:id="rId14"/>
          <w:pgSz w:w="11906" w:h="16838" w:code="9"/>
          <w:pgMar w:top="1440" w:right="1440" w:bottom="1440" w:left="1440" w:header="709" w:footer="709" w:gutter="0"/>
          <w:pgNumType w:fmt="lowerRoman" w:start="1"/>
          <w:cols w:space="708"/>
          <w:docGrid w:linePitch="360"/>
        </w:sectPr>
      </w:pPr>
    </w:p>
    <w:p w14:paraId="198748BF" w14:textId="6AEADB3F" w:rsidR="00DE2756" w:rsidRPr="00CE16C3" w:rsidRDefault="0048411F" w:rsidP="0064427E">
      <w:pPr>
        <w:pStyle w:val="Heading1"/>
      </w:pPr>
      <w:bookmarkStart w:id="0" w:name="_Toc89438498"/>
      <w:bookmarkStart w:id="1" w:name="_Toc134519907"/>
      <w:r w:rsidRPr="00CE16C3">
        <w:lastRenderedPageBreak/>
        <w:t>1.</w:t>
      </w:r>
      <w:r w:rsidR="006E1808" w:rsidRPr="00CE16C3">
        <w:tab/>
      </w:r>
      <w:bookmarkEnd w:id="0"/>
      <w:r w:rsidR="00895077" w:rsidRPr="0064427E">
        <w:t>Introduction</w:t>
      </w:r>
      <w:bookmarkEnd w:id="1"/>
    </w:p>
    <w:p w14:paraId="60D58B8A" w14:textId="7B570758" w:rsidR="0048411F" w:rsidRDefault="0048411F"/>
    <w:p w14:paraId="2455AC05" w14:textId="088A4073" w:rsidR="007B7BC1" w:rsidRDefault="0048411F" w:rsidP="0064427E">
      <w:pPr>
        <w:tabs>
          <w:tab w:val="left" w:pos="900"/>
        </w:tabs>
        <w:ind w:left="900"/>
        <w:rPr>
          <w:szCs w:val="24"/>
        </w:rPr>
      </w:pPr>
      <w:r w:rsidRPr="00BE3EFC">
        <w:rPr>
          <w:szCs w:val="24"/>
        </w:rPr>
        <w:t>External Examining is an integral part of the University’s Quality Framework</w:t>
      </w:r>
      <w:r w:rsidR="007C6A7E">
        <w:rPr>
          <w:szCs w:val="24"/>
        </w:rPr>
        <w:t xml:space="preserve"> and</w:t>
      </w:r>
      <w:r w:rsidRPr="00BE3EFC">
        <w:rPr>
          <w:szCs w:val="24"/>
        </w:rPr>
        <w:t xml:space="preserve"> </w:t>
      </w:r>
      <w:r w:rsidR="000F591D">
        <w:rPr>
          <w:szCs w:val="24"/>
        </w:rPr>
        <w:t>External Examiner reports are an essential aspect of the quality assurance and enhancement processes operated by the University</w:t>
      </w:r>
      <w:r w:rsidR="007D5B1C">
        <w:rPr>
          <w:szCs w:val="24"/>
        </w:rPr>
        <w:t xml:space="preserve">. </w:t>
      </w:r>
    </w:p>
    <w:p w14:paraId="16A88584" w14:textId="77777777" w:rsidR="007B7BC1" w:rsidRPr="00BE3EFC" w:rsidRDefault="007B7BC1" w:rsidP="0064427E">
      <w:pPr>
        <w:tabs>
          <w:tab w:val="left" w:pos="900"/>
        </w:tabs>
        <w:ind w:left="49"/>
        <w:rPr>
          <w:szCs w:val="24"/>
        </w:rPr>
      </w:pPr>
    </w:p>
    <w:p w14:paraId="5E26F35E" w14:textId="43865712" w:rsidR="00BE3EFC" w:rsidRPr="00BE3EFC" w:rsidRDefault="007B7BC1" w:rsidP="0064427E">
      <w:pPr>
        <w:tabs>
          <w:tab w:val="left" w:pos="900"/>
        </w:tabs>
        <w:ind w:left="900"/>
        <w:rPr>
          <w:szCs w:val="24"/>
        </w:rPr>
      </w:pPr>
      <w:r w:rsidRPr="00BE3EFC">
        <w:rPr>
          <w:szCs w:val="24"/>
        </w:rPr>
        <w:t>External Examiners are appointed to provide impartial, independent advice and informed comment on the institution’s academic standards and student achievement in relation to those standards, through oversight of the assessment process at module and award level</w:t>
      </w:r>
      <w:r w:rsidR="007D5B1C" w:rsidRPr="00BE3EFC">
        <w:rPr>
          <w:szCs w:val="24"/>
        </w:rPr>
        <w:t>.</w:t>
      </w:r>
      <w:r w:rsidR="007D5B1C">
        <w:rPr>
          <w:szCs w:val="24"/>
        </w:rPr>
        <w:t xml:space="preserve"> </w:t>
      </w:r>
      <w:r w:rsidR="000A02D3">
        <w:rPr>
          <w:szCs w:val="24"/>
        </w:rPr>
        <w:t>T</w:t>
      </w:r>
      <w:r w:rsidR="008D4FE9">
        <w:rPr>
          <w:szCs w:val="24"/>
        </w:rPr>
        <w:t>he examin</w:t>
      </w:r>
      <w:r w:rsidR="00093FEC">
        <w:rPr>
          <w:szCs w:val="24"/>
        </w:rPr>
        <w:t>ing</w:t>
      </w:r>
      <w:r w:rsidR="008D4FE9">
        <w:rPr>
          <w:szCs w:val="24"/>
        </w:rPr>
        <w:t xml:space="preserve"> system is </w:t>
      </w:r>
      <w:r w:rsidR="00EB1C16">
        <w:rPr>
          <w:szCs w:val="24"/>
        </w:rPr>
        <w:t xml:space="preserve">one of the drivers for </w:t>
      </w:r>
      <w:r w:rsidR="008D4FE9">
        <w:rPr>
          <w:szCs w:val="24"/>
        </w:rPr>
        <w:t>reflection on</w:t>
      </w:r>
      <w:r w:rsidR="00FC7A48">
        <w:rPr>
          <w:szCs w:val="24"/>
        </w:rPr>
        <w:t xml:space="preserve"> and enhancement of</w:t>
      </w:r>
      <w:r w:rsidR="008D4FE9">
        <w:rPr>
          <w:szCs w:val="24"/>
        </w:rPr>
        <w:t xml:space="preserve"> student</w:t>
      </w:r>
      <w:r w:rsidR="00B50669">
        <w:rPr>
          <w:szCs w:val="24"/>
        </w:rPr>
        <w:t>s’</w:t>
      </w:r>
      <w:r w:rsidR="008D4FE9">
        <w:rPr>
          <w:szCs w:val="24"/>
        </w:rPr>
        <w:t xml:space="preserve"> learning</w:t>
      </w:r>
      <w:r w:rsidR="00360CFC">
        <w:rPr>
          <w:szCs w:val="24"/>
        </w:rPr>
        <w:t>, teaching</w:t>
      </w:r>
      <w:r w:rsidR="0018288B">
        <w:rPr>
          <w:szCs w:val="24"/>
        </w:rPr>
        <w:t>,</w:t>
      </w:r>
      <w:r w:rsidR="00360CFC">
        <w:rPr>
          <w:szCs w:val="24"/>
        </w:rPr>
        <w:t xml:space="preserve"> assessment experience</w:t>
      </w:r>
      <w:r w:rsidR="00EB1C16">
        <w:rPr>
          <w:szCs w:val="24"/>
        </w:rPr>
        <w:t>s</w:t>
      </w:r>
      <w:r w:rsidR="0018288B">
        <w:rPr>
          <w:szCs w:val="24"/>
        </w:rPr>
        <w:t xml:space="preserve"> and award outcomes</w:t>
      </w:r>
      <w:r w:rsidR="00360CFC">
        <w:rPr>
          <w:szCs w:val="24"/>
        </w:rPr>
        <w:t>.</w:t>
      </w:r>
    </w:p>
    <w:p w14:paraId="48316EC8" w14:textId="66024DCA" w:rsidR="00BE3EFC" w:rsidRDefault="00BE3EFC" w:rsidP="0064427E">
      <w:pPr>
        <w:pStyle w:val="CLQEParagraph"/>
        <w:tabs>
          <w:tab w:val="left" w:pos="900"/>
        </w:tabs>
        <w:ind w:left="49" w:right="-1"/>
        <w:rPr>
          <w:rFonts w:cs="Arial"/>
          <w:sz w:val="24"/>
          <w:szCs w:val="24"/>
        </w:rPr>
      </w:pPr>
    </w:p>
    <w:p w14:paraId="51554A04" w14:textId="76B52506" w:rsidR="006E1808" w:rsidRPr="00CB7E00" w:rsidRDefault="005A2D93" w:rsidP="0064427E">
      <w:pPr>
        <w:pStyle w:val="CLQEParagraph"/>
        <w:tabs>
          <w:tab w:val="left" w:pos="900"/>
        </w:tabs>
        <w:ind w:left="900" w:right="-1"/>
        <w:rPr>
          <w:rStyle w:val="Hyperlink"/>
          <w:rFonts w:cs="Arial"/>
          <w:sz w:val="24"/>
          <w:szCs w:val="24"/>
        </w:rPr>
      </w:pPr>
      <w:r w:rsidRPr="6447A6AC">
        <w:rPr>
          <w:rFonts w:cs="Arial"/>
          <w:sz w:val="24"/>
          <w:szCs w:val="24"/>
        </w:rPr>
        <w:t>All University courses and modules leading to an award of credit at Foundation</w:t>
      </w:r>
      <w:r w:rsidR="003E7751">
        <w:rPr>
          <w:rFonts w:cs="Arial"/>
          <w:sz w:val="24"/>
          <w:szCs w:val="24"/>
        </w:rPr>
        <w:t xml:space="preserve"> Degree</w:t>
      </w:r>
      <w:r w:rsidRPr="6447A6AC">
        <w:rPr>
          <w:rFonts w:cs="Arial"/>
          <w:sz w:val="24"/>
          <w:szCs w:val="24"/>
        </w:rPr>
        <w:t xml:space="preserve">, </w:t>
      </w:r>
      <w:r w:rsidR="00F46079" w:rsidRPr="6447A6AC">
        <w:rPr>
          <w:rFonts w:cs="Arial"/>
          <w:sz w:val="24"/>
          <w:szCs w:val="24"/>
        </w:rPr>
        <w:t>Higher Nationa</w:t>
      </w:r>
      <w:r w:rsidR="009F26F1" w:rsidRPr="6447A6AC">
        <w:rPr>
          <w:rFonts w:cs="Arial"/>
          <w:sz w:val="24"/>
          <w:szCs w:val="24"/>
        </w:rPr>
        <w:t>l</w:t>
      </w:r>
      <w:r w:rsidR="00F46079" w:rsidRPr="6447A6AC">
        <w:rPr>
          <w:rFonts w:cs="Arial"/>
          <w:sz w:val="24"/>
          <w:szCs w:val="24"/>
        </w:rPr>
        <w:t>,</w:t>
      </w:r>
      <w:r w:rsidR="00EF5AA2">
        <w:rPr>
          <w:rFonts w:cs="Arial"/>
          <w:sz w:val="24"/>
          <w:szCs w:val="24"/>
        </w:rPr>
        <w:t xml:space="preserve"> </w:t>
      </w:r>
      <w:r w:rsidRPr="6447A6AC">
        <w:rPr>
          <w:rFonts w:cs="Arial"/>
          <w:sz w:val="24"/>
          <w:szCs w:val="24"/>
        </w:rPr>
        <w:t>Undergraduate</w:t>
      </w:r>
      <w:r w:rsidR="00EF5AA2">
        <w:rPr>
          <w:rFonts w:cs="Arial"/>
          <w:sz w:val="24"/>
          <w:szCs w:val="24"/>
        </w:rPr>
        <w:t>, Integrated Masters</w:t>
      </w:r>
      <w:r w:rsidRPr="6447A6AC">
        <w:rPr>
          <w:rFonts w:cs="Arial"/>
          <w:sz w:val="24"/>
          <w:szCs w:val="24"/>
        </w:rPr>
        <w:t xml:space="preserve">, Masters and Professional Doctorate </w:t>
      </w:r>
      <w:r w:rsidR="00201162" w:rsidRPr="6447A6AC">
        <w:rPr>
          <w:rFonts w:cs="Arial"/>
          <w:sz w:val="24"/>
          <w:szCs w:val="24"/>
        </w:rPr>
        <w:t>levels</w:t>
      </w:r>
      <w:r w:rsidRPr="6447A6AC">
        <w:rPr>
          <w:rFonts w:cs="Arial"/>
          <w:sz w:val="24"/>
          <w:szCs w:val="24"/>
        </w:rPr>
        <w:t xml:space="preserve"> must have one or more</w:t>
      </w:r>
      <w:r w:rsidR="007909C5">
        <w:rPr>
          <w:rFonts w:cs="Arial"/>
          <w:sz w:val="24"/>
          <w:szCs w:val="24"/>
        </w:rPr>
        <w:t xml:space="preserve"> External</w:t>
      </w:r>
      <w:r w:rsidRPr="6447A6AC">
        <w:rPr>
          <w:rFonts w:cs="Arial"/>
          <w:sz w:val="24"/>
          <w:szCs w:val="24"/>
        </w:rPr>
        <w:t xml:space="preserve"> Examiners appoint</w:t>
      </w:r>
      <w:r w:rsidR="00D8164D" w:rsidRPr="6447A6AC">
        <w:rPr>
          <w:rFonts w:cs="Arial"/>
          <w:sz w:val="24"/>
          <w:szCs w:val="24"/>
        </w:rPr>
        <w:t>ed</w:t>
      </w:r>
      <w:r w:rsidRPr="6447A6AC">
        <w:rPr>
          <w:rFonts w:cs="Arial"/>
          <w:sz w:val="24"/>
          <w:szCs w:val="24"/>
        </w:rPr>
        <w:t xml:space="preserve"> to carry out the role of External Examiner as </w:t>
      </w:r>
      <w:r w:rsidR="00503110" w:rsidRPr="6447A6AC">
        <w:rPr>
          <w:rFonts w:cs="Arial"/>
          <w:sz w:val="24"/>
          <w:szCs w:val="24"/>
        </w:rPr>
        <w:t>defined</w:t>
      </w:r>
      <w:r w:rsidRPr="6447A6AC">
        <w:rPr>
          <w:rFonts w:cs="Arial"/>
          <w:sz w:val="24"/>
          <w:szCs w:val="24"/>
        </w:rPr>
        <w:t xml:space="preserve"> in this document. </w:t>
      </w:r>
      <w:r w:rsidR="003B2D98" w:rsidRPr="6447A6AC">
        <w:rPr>
          <w:rFonts w:cs="Arial"/>
          <w:sz w:val="24"/>
          <w:szCs w:val="24"/>
        </w:rPr>
        <w:t>I</w:t>
      </w:r>
      <w:r w:rsidR="00C97DF4" w:rsidRPr="6447A6AC">
        <w:rPr>
          <w:rFonts w:cs="Arial"/>
          <w:sz w:val="24"/>
          <w:szCs w:val="24"/>
        </w:rPr>
        <w:t>n</w:t>
      </w:r>
      <w:r w:rsidR="003B2D98" w:rsidRPr="6447A6AC">
        <w:rPr>
          <w:rFonts w:cs="Arial"/>
          <w:sz w:val="24"/>
          <w:szCs w:val="24"/>
        </w:rPr>
        <w:t xml:space="preserve"> addition, Professional Doctorate </w:t>
      </w:r>
      <w:r w:rsidR="00356BFB" w:rsidRPr="6447A6AC">
        <w:rPr>
          <w:rFonts w:cs="Arial"/>
          <w:sz w:val="24"/>
          <w:szCs w:val="24"/>
        </w:rPr>
        <w:t>courses</w:t>
      </w:r>
      <w:r w:rsidR="003B2D98" w:rsidRPr="6447A6AC">
        <w:rPr>
          <w:rFonts w:cs="Arial"/>
          <w:sz w:val="24"/>
          <w:szCs w:val="24"/>
        </w:rPr>
        <w:t xml:space="preserve"> must a</w:t>
      </w:r>
      <w:r w:rsidR="00345F43" w:rsidRPr="6447A6AC">
        <w:rPr>
          <w:rFonts w:cs="Arial"/>
          <w:sz w:val="24"/>
          <w:szCs w:val="24"/>
        </w:rPr>
        <w:t>ppoint an</w:t>
      </w:r>
      <w:r w:rsidR="006E1808" w:rsidRPr="6447A6AC">
        <w:rPr>
          <w:rFonts w:cs="Arial"/>
          <w:sz w:val="24"/>
          <w:szCs w:val="24"/>
        </w:rPr>
        <w:t xml:space="preserve"> Advanced Independent Work External Examiner (AIWEE)</w:t>
      </w:r>
      <w:r w:rsidR="006452C8" w:rsidRPr="6447A6AC">
        <w:rPr>
          <w:rFonts w:cs="Arial"/>
          <w:sz w:val="24"/>
          <w:szCs w:val="24"/>
        </w:rPr>
        <w:t xml:space="preserve">, which is detailed </w:t>
      </w:r>
      <w:r w:rsidR="006E1808" w:rsidRPr="6447A6AC">
        <w:rPr>
          <w:rFonts w:cs="Arial"/>
          <w:sz w:val="24"/>
          <w:szCs w:val="24"/>
        </w:rPr>
        <w:t xml:space="preserve">within the </w:t>
      </w:r>
      <w:r w:rsidR="00CB7E00">
        <w:rPr>
          <w:rFonts w:eastAsiaTheme="majorEastAsia" w:cs="Arial"/>
          <w:b/>
          <w:bCs/>
          <w:sz w:val="24"/>
          <w:szCs w:val="24"/>
        </w:rPr>
        <w:fldChar w:fldCharType="begin"/>
      </w:r>
      <w:r w:rsidR="00CB7E00">
        <w:rPr>
          <w:rFonts w:eastAsiaTheme="majorEastAsia" w:cs="Arial"/>
          <w:b/>
          <w:bCs/>
          <w:sz w:val="24"/>
          <w:szCs w:val="24"/>
        </w:rPr>
        <w:instrText xml:space="preserve"> HYPERLINK "https://connect.tees.ac.uk/external-examiners/handbooks-framework/professional-doctorates" </w:instrText>
      </w:r>
      <w:r w:rsidR="00CB7E00">
        <w:rPr>
          <w:rFonts w:eastAsiaTheme="majorEastAsia" w:cs="Arial"/>
          <w:b/>
          <w:bCs/>
          <w:sz w:val="24"/>
          <w:szCs w:val="24"/>
        </w:rPr>
      </w:r>
      <w:r w:rsidR="00CB7E00">
        <w:rPr>
          <w:rFonts w:eastAsiaTheme="majorEastAsia" w:cs="Arial"/>
          <w:b/>
          <w:bCs/>
          <w:sz w:val="24"/>
          <w:szCs w:val="24"/>
        </w:rPr>
        <w:fldChar w:fldCharType="separate"/>
      </w:r>
      <w:r w:rsidR="006E1808" w:rsidRPr="000E1917">
        <w:rPr>
          <w:rStyle w:val="Hyperlink"/>
          <w:rFonts w:eastAsiaTheme="majorEastAsia" w:cs="Arial"/>
          <w:b/>
          <w:bCs/>
          <w:sz w:val="24"/>
          <w:szCs w:val="24"/>
        </w:rPr>
        <w:t>Handbook for External Examiners of Professional Doctorate Advanced Independent Work</w:t>
      </w:r>
      <w:r w:rsidR="006E1808" w:rsidRPr="007129C1">
        <w:rPr>
          <w:rStyle w:val="Hyperlink"/>
          <w:rFonts w:eastAsiaTheme="majorEastAsia" w:cs="Arial"/>
          <w:sz w:val="24"/>
          <w:szCs w:val="24"/>
        </w:rPr>
        <w:t>.</w:t>
      </w:r>
    </w:p>
    <w:p w14:paraId="75993F4C" w14:textId="654E3A68" w:rsidR="006E1808" w:rsidRDefault="00CB7E00" w:rsidP="0064427E">
      <w:pPr>
        <w:pStyle w:val="CLQEParagraph"/>
        <w:tabs>
          <w:tab w:val="left" w:pos="900"/>
        </w:tabs>
        <w:ind w:left="49" w:right="-1"/>
        <w:rPr>
          <w:rFonts w:cs="Arial"/>
          <w:sz w:val="24"/>
          <w:szCs w:val="24"/>
        </w:rPr>
      </w:pPr>
      <w:r>
        <w:rPr>
          <w:rFonts w:eastAsiaTheme="majorEastAsia" w:cs="Arial"/>
          <w:b/>
          <w:bCs/>
          <w:sz w:val="24"/>
          <w:szCs w:val="24"/>
        </w:rPr>
        <w:fldChar w:fldCharType="end"/>
      </w:r>
    </w:p>
    <w:p w14:paraId="099F187E" w14:textId="27C85D96" w:rsidR="0048390A" w:rsidRDefault="0048390A" w:rsidP="0064427E">
      <w:pPr>
        <w:pStyle w:val="CLQEParagraph"/>
        <w:ind w:left="900" w:right="-1"/>
        <w:rPr>
          <w:rFonts w:cs="Arial"/>
          <w:sz w:val="24"/>
          <w:szCs w:val="24"/>
        </w:rPr>
      </w:pPr>
      <w:r>
        <w:rPr>
          <w:rFonts w:cs="Arial"/>
          <w:sz w:val="24"/>
          <w:szCs w:val="24"/>
        </w:rPr>
        <w:t xml:space="preserve">All </w:t>
      </w:r>
      <w:r w:rsidR="00C71EAE">
        <w:rPr>
          <w:rFonts w:cs="Arial"/>
          <w:sz w:val="24"/>
          <w:szCs w:val="24"/>
        </w:rPr>
        <w:t xml:space="preserve">Teesside University </w:t>
      </w:r>
      <w:r>
        <w:rPr>
          <w:rFonts w:cs="Arial"/>
          <w:sz w:val="24"/>
          <w:szCs w:val="24"/>
        </w:rPr>
        <w:t>Externals Examiners are required to adhere to the information contained in this document</w:t>
      </w:r>
      <w:r w:rsidR="007D5B1C">
        <w:rPr>
          <w:rFonts w:cs="Arial"/>
          <w:sz w:val="24"/>
          <w:szCs w:val="24"/>
        </w:rPr>
        <w:t xml:space="preserve">. </w:t>
      </w:r>
      <w:r>
        <w:rPr>
          <w:rFonts w:cs="Arial"/>
          <w:sz w:val="24"/>
          <w:szCs w:val="24"/>
        </w:rPr>
        <w:t>Th</w:t>
      </w:r>
      <w:r w:rsidR="00C71EAE">
        <w:rPr>
          <w:rFonts w:cs="Arial"/>
          <w:sz w:val="24"/>
          <w:szCs w:val="24"/>
        </w:rPr>
        <w:t>e</w:t>
      </w:r>
      <w:r>
        <w:rPr>
          <w:rFonts w:cs="Arial"/>
          <w:sz w:val="24"/>
          <w:szCs w:val="24"/>
        </w:rPr>
        <w:t xml:space="preserve"> </w:t>
      </w:r>
      <w:r w:rsidR="00C71EAE">
        <w:rPr>
          <w:rFonts w:cs="Arial"/>
          <w:sz w:val="24"/>
          <w:szCs w:val="24"/>
        </w:rPr>
        <w:t xml:space="preserve">document </w:t>
      </w:r>
      <w:r>
        <w:rPr>
          <w:rFonts w:cs="Arial"/>
          <w:sz w:val="24"/>
          <w:szCs w:val="24"/>
        </w:rPr>
        <w:t>also applies to External Examiners appointed to courses</w:t>
      </w:r>
      <w:r w:rsidR="00D8164D">
        <w:rPr>
          <w:rFonts w:cs="Arial"/>
          <w:sz w:val="24"/>
          <w:szCs w:val="24"/>
        </w:rPr>
        <w:t xml:space="preserve"> and/or </w:t>
      </w:r>
      <w:r>
        <w:rPr>
          <w:rFonts w:cs="Arial"/>
          <w:sz w:val="24"/>
          <w:szCs w:val="24"/>
        </w:rPr>
        <w:t xml:space="preserve">modules approved through </w:t>
      </w:r>
      <w:r w:rsidR="00C71EAE">
        <w:rPr>
          <w:rFonts w:cs="Arial"/>
          <w:sz w:val="24"/>
          <w:szCs w:val="24"/>
        </w:rPr>
        <w:t>partnership</w:t>
      </w:r>
      <w:r>
        <w:rPr>
          <w:rFonts w:cs="Arial"/>
          <w:sz w:val="24"/>
          <w:szCs w:val="24"/>
        </w:rPr>
        <w:t xml:space="preserve"> arrangements</w:t>
      </w:r>
      <w:r w:rsidR="007D5B1C">
        <w:rPr>
          <w:rFonts w:cs="Arial"/>
          <w:sz w:val="24"/>
          <w:szCs w:val="24"/>
        </w:rPr>
        <w:t xml:space="preserve">. </w:t>
      </w:r>
      <w:r>
        <w:rPr>
          <w:rFonts w:cs="Arial"/>
          <w:sz w:val="24"/>
          <w:szCs w:val="24"/>
        </w:rPr>
        <w:t>School</w:t>
      </w:r>
      <w:r w:rsidR="00AF27B0">
        <w:rPr>
          <w:rFonts w:cs="Arial"/>
          <w:sz w:val="24"/>
          <w:szCs w:val="24"/>
        </w:rPr>
        <w:t>s</w:t>
      </w:r>
      <w:r>
        <w:rPr>
          <w:rFonts w:cs="Arial"/>
          <w:sz w:val="24"/>
          <w:szCs w:val="24"/>
        </w:rPr>
        <w:t xml:space="preserve"> </w:t>
      </w:r>
      <w:r w:rsidR="003D7FFB">
        <w:rPr>
          <w:rFonts w:cs="Arial"/>
          <w:sz w:val="24"/>
          <w:szCs w:val="24"/>
        </w:rPr>
        <w:t>must</w:t>
      </w:r>
      <w:r>
        <w:rPr>
          <w:rFonts w:cs="Arial"/>
          <w:sz w:val="24"/>
          <w:szCs w:val="24"/>
        </w:rPr>
        <w:t xml:space="preserve"> ensure that partners are aware of their responsibilities with respect to External Examining.</w:t>
      </w:r>
    </w:p>
    <w:p w14:paraId="214C0A43" w14:textId="7A4788F4" w:rsidR="000D0B2D" w:rsidRDefault="000D0B2D" w:rsidP="00862B48">
      <w:pPr>
        <w:pStyle w:val="CLQEParagraph"/>
        <w:ind w:left="0" w:right="-1"/>
        <w:rPr>
          <w:rFonts w:cs="Arial"/>
          <w:sz w:val="24"/>
          <w:szCs w:val="24"/>
        </w:rPr>
      </w:pPr>
    </w:p>
    <w:p w14:paraId="46236153" w14:textId="77777777" w:rsidR="006A1F7B" w:rsidRDefault="00B4304B" w:rsidP="0064427E">
      <w:pPr>
        <w:tabs>
          <w:tab w:val="left" w:pos="900"/>
          <w:tab w:val="left" w:pos="1080"/>
        </w:tabs>
        <w:ind w:left="900" w:right="-46"/>
        <w:rPr>
          <w:szCs w:val="24"/>
        </w:rPr>
      </w:pPr>
      <w:r w:rsidRPr="006A1F7B">
        <w:rPr>
          <w:szCs w:val="24"/>
        </w:rPr>
        <w:t xml:space="preserve">External </w:t>
      </w:r>
      <w:r w:rsidR="00A23361" w:rsidRPr="006A1F7B">
        <w:rPr>
          <w:szCs w:val="24"/>
        </w:rPr>
        <w:t xml:space="preserve">Examiners should familiarise themselves with the </w:t>
      </w:r>
      <w:r w:rsidR="006A1F7B">
        <w:rPr>
          <w:szCs w:val="24"/>
        </w:rPr>
        <w:t xml:space="preserve">following </w:t>
      </w:r>
      <w:r w:rsidR="00A23361" w:rsidRPr="006A1F7B">
        <w:rPr>
          <w:szCs w:val="24"/>
        </w:rPr>
        <w:t>University</w:t>
      </w:r>
      <w:r w:rsidR="006A1F7B">
        <w:rPr>
          <w:szCs w:val="24"/>
        </w:rPr>
        <w:t xml:space="preserve"> publications:</w:t>
      </w:r>
    </w:p>
    <w:p w14:paraId="236374AE" w14:textId="77777777" w:rsidR="00972B37" w:rsidRDefault="00972B37" w:rsidP="0064427E">
      <w:pPr>
        <w:tabs>
          <w:tab w:val="left" w:pos="900"/>
          <w:tab w:val="left" w:pos="1080"/>
        </w:tabs>
        <w:ind w:left="900" w:right="-46"/>
        <w:rPr>
          <w:szCs w:val="24"/>
        </w:rPr>
      </w:pPr>
    </w:p>
    <w:p w14:paraId="308A6C93" w14:textId="3A2702B6" w:rsidR="006A1F7B" w:rsidRPr="00CB7E00" w:rsidRDefault="00CB7E00" w:rsidP="0064427E">
      <w:pPr>
        <w:pStyle w:val="ListParagraph"/>
        <w:numPr>
          <w:ilvl w:val="0"/>
          <w:numId w:val="22"/>
        </w:numPr>
        <w:tabs>
          <w:tab w:val="left" w:pos="900"/>
          <w:tab w:val="left" w:pos="1080"/>
        </w:tabs>
        <w:ind w:left="1620" w:right="-46"/>
        <w:rPr>
          <w:rStyle w:val="Hyperlink"/>
          <w:szCs w:val="24"/>
        </w:rPr>
      </w:pPr>
      <w:r>
        <w:rPr>
          <w:b/>
          <w:bCs/>
          <w:szCs w:val="24"/>
        </w:rPr>
        <w:fldChar w:fldCharType="begin"/>
      </w:r>
      <w:r>
        <w:rPr>
          <w:b/>
          <w:bCs/>
          <w:szCs w:val="24"/>
        </w:rPr>
        <w:instrText xml:space="preserve"> HYPERLINK "https://www.tees.ac.uk/docs/index.cfm?folder=Student%20regulations&amp;name=Assessment%20Regulations&amp;folder_id=46" </w:instrText>
      </w:r>
      <w:r>
        <w:rPr>
          <w:b/>
          <w:bCs/>
          <w:szCs w:val="24"/>
        </w:rPr>
      </w:r>
      <w:r>
        <w:rPr>
          <w:b/>
          <w:bCs/>
          <w:szCs w:val="24"/>
        </w:rPr>
        <w:fldChar w:fldCharType="separate"/>
      </w:r>
      <w:r w:rsidR="00A23361" w:rsidRPr="00CB7E00">
        <w:rPr>
          <w:rStyle w:val="Hyperlink"/>
          <w:b/>
          <w:bCs/>
          <w:szCs w:val="24"/>
        </w:rPr>
        <w:t>Assessment Regulations</w:t>
      </w:r>
    </w:p>
    <w:p w14:paraId="6B65CD2A" w14:textId="5546E305" w:rsidR="006A1F7B" w:rsidRPr="00CB7E00" w:rsidRDefault="00CB7E00" w:rsidP="0064427E">
      <w:pPr>
        <w:pStyle w:val="ListParagraph"/>
        <w:numPr>
          <w:ilvl w:val="0"/>
          <w:numId w:val="22"/>
        </w:numPr>
        <w:tabs>
          <w:tab w:val="left" w:pos="900"/>
          <w:tab w:val="left" w:pos="1080"/>
        </w:tabs>
        <w:ind w:left="1620" w:right="-46"/>
        <w:contextualSpacing w:val="0"/>
        <w:rPr>
          <w:rStyle w:val="Hyperlink"/>
          <w:b/>
          <w:bCs/>
          <w:szCs w:val="24"/>
        </w:rPr>
      </w:pPr>
      <w:r>
        <w:rPr>
          <w:b/>
          <w:bCs/>
          <w:szCs w:val="24"/>
        </w:rPr>
        <w:fldChar w:fldCharType="end"/>
      </w:r>
      <w:r>
        <w:rPr>
          <w:b/>
          <w:bCs/>
          <w:szCs w:val="24"/>
        </w:rPr>
        <w:fldChar w:fldCharType="begin"/>
      </w:r>
      <w:r>
        <w:rPr>
          <w:b/>
          <w:bCs/>
          <w:szCs w:val="24"/>
        </w:rPr>
        <w:instrText xml:space="preserve"> HYPERLINK "https://www.tees.ac.uk/docs/index.cfm?folder=Student%20regulations&amp;name=Academic%20Regulations&amp;folder_id=44" </w:instrText>
      </w:r>
      <w:r>
        <w:rPr>
          <w:b/>
          <w:bCs/>
          <w:szCs w:val="24"/>
        </w:rPr>
      </w:r>
      <w:r>
        <w:rPr>
          <w:b/>
          <w:bCs/>
          <w:szCs w:val="24"/>
        </w:rPr>
        <w:fldChar w:fldCharType="separate"/>
      </w:r>
      <w:r w:rsidR="00A23361" w:rsidRPr="00CB7E00">
        <w:rPr>
          <w:rStyle w:val="Hyperlink"/>
          <w:b/>
          <w:bCs/>
          <w:szCs w:val="24"/>
        </w:rPr>
        <w:t>Assessment &amp; Feedback Policy</w:t>
      </w:r>
    </w:p>
    <w:p w14:paraId="3D454A09" w14:textId="1CD54DED" w:rsidR="006A1F7B" w:rsidRPr="00CB7E00" w:rsidRDefault="00CB7E00" w:rsidP="0064427E">
      <w:pPr>
        <w:pStyle w:val="ListParagraph"/>
        <w:numPr>
          <w:ilvl w:val="0"/>
          <w:numId w:val="22"/>
        </w:numPr>
        <w:tabs>
          <w:tab w:val="left" w:pos="900"/>
          <w:tab w:val="left" w:pos="1080"/>
        </w:tabs>
        <w:ind w:left="1620" w:right="-46"/>
        <w:contextualSpacing w:val="0"/>
        <w:rPr>
          <w:rStyle w:val="Hyperlink"/>
          <w:rFonts w:cs="Arial"/>
          <w:b/>
          <w:bCs/>
        </w:rPr>
      </w:pPr>
      <w:r>
        <w:rPr>
          <w:b/>
          <w:bCs/>
          <w:szCs w:val="24"/>
        </w:rPr>
        <w:fldChar w:fldCharType="end"/>
      </w:r>
      <w:r>
        <w:rPr>
          <w:rFonts w:cs="Arial"/>
          <w:b/>
          <w:bCs/>
        </w:rPr>
        <w:fldChar w:fldCharType="begin"/>
      </w:r>
      <w:r>
        <w:rPr>
          <w:rFonts w:cs="Arial"/>
          <w:b/>
          <w:bCs/>
        </w:rPr>
        <w:instrText xml:space="preserve"> HYPERLINK "https://www.tees.ac.uk/docs/index.cfm?folder=Student%20regulations&amp;name=Academic%20Regulations&amp;folder_id=44" </w:instrText>
      </w:r>
      <w:r>
        <w:rPr>
          <w:rFonts w:cs="Arial"/>
          <w:b/>
          <w:bCs/>
        </w:rPr>
      </w:r>
      <w:r>
        <w:rPr>
          <w:rFonts w:cs="Arial"/>
          <w:b/>
          <w:bCs/>
        </w:rPr>
        <w:fldChar w:fldCharType="separate"/>
      </w:r>
      <w:r w:rsidR="00FF7768" w:rsidRPr="00CB7E00">
        <w:rPr>
          <w:rStyle w:val="Hyperlink"/>
          <w:rFonts w:cs="Arial"/>
          <w:b/>
          <w:bCs/>
        </w:rPr>
        <w:t>Academic Appeal Regulations</w:t>
      </w:r>
    </w:p>
    <w:p w14:paraId="7E9C4455" w14:textId="13A6D226" w:rsidR="006A1F7B" w:rsidRPr="00CB7E00" w:rsidRDefault="00CB7E00" w:rsidP="0064427E">
      <w:pPr>
        <w:pStyle w:val="ListParagraph"/>
        <w:numPr>
          <w:ilvl w:val="0"/>
          <w:numId w:val="22"/>
        </w:numPr>
        <w:tabs>
          <w:tab w:val="left" w:pos="900"/>
          <w:tab w:val="left" w:pos="1080"/>
        </w:tabs>
        <w:ind w:left="1620" w:right="-46"/>
        <w:contextualSpacing w:val="0"/>
        <w:rPr>
          <w:rStyle w:val="Hyperlink"/>
          <w:rFonts w:cs="Arial"/>
          <w:b/>
          <w:bCs/>
        </w:rPr>
      </w:pPr>
      <w:r>
        <w:rPr>
          <w:rFonts w:cs="Arial"/>
          <w:b/>
          <w:bCs/>
        </w:rPr>
        <w:fldChar w:fldCharType="end"/>
      </w:r>
      <w:r>
        <w:rPr>
          <w:rFonts w:cs="Arial"/>
          <w:b/>
          <w:bCs/>
        </w:rPr>
        <w:fldChar w:fldCharType="begin"/>
      </w:r>
      <w:r>
        <w:rPr>
          <w:rFonts w:cs="Arial"/>
          <w:b/>
          <w:bCs/>
        </w:rPr>
        <w:instrText xml:space="preserve"> HYPERLINK "https://www.tees.ac.uk/docs/index.cfm?folder=Student%20regulations&amp;name=Academic%20Regulations&amp;folder_id=44" </w:instrText>
      </w:r>
      <w:r>
        <w:rPr>
          <w:rFonts w:cs="Arial"/>
          <w:b/>
          <w:bCs/>
        </w:rPr>
      </w:r>
      <w:r>
        <w:rPr>
          <w:rFonts w:cs="Arial"/>
          <w:b/>
          <w:bCs/>
        </w:rPr>
        <w:fldChar w:fldCharType="separate"/>
      </w:r>
      <w:r w:rsidR="007038FA" w:rsidRPr="00CB7E00">
        <w:rPr>
          <w:rStyle w:val="Hyperlink"/>
          <w:rFonts w:cs="Arial"/>
          <w:b/>
          <w:bCs/>
        </w:rPr>
        <w:t>Academic Misconduct Regulations</w:t>
      </w:r>
    </w:p>
    <w:p w14:paraId="78EB42E6" w14:textId="50E3238D" w:rsidR="006A1F7B" w:rsidRPr="00CB7E00" w:rsidRDefault="00CB7E00" w:rsidP="0064427E">
      <w:pPr>
        <w:pStyle w:val="ListParagraph"/>
        <w:numPr>
          <w:ilvl w:val="0"/>
          <w:numId w:val="22"/>
        </w:numPr>
        <w:tabs>
          <w:tab w:val="left" w:pos="900"/>
          <w:tab w:val="left" w:pos="1080"/>
        </w:tabs>
        <w:ind w:left="1620" w:right="-46"/>
        <w:contextualSpacing w:val="0"/>
        <w:rPr>
          <w:rStyle w:val="Hyperlink"/>
          <w:rFonts w:cs="Arial"/>
          <w:b/>
          <w:bCs/>
        </w:rPr>
      </w:pPr>
      <w:r>
        <w:rPr>
          <w:rFonts w:cs="Arial"/>
          <w:b/>
          <w:bCs/>
        </w:rPr>
        <w:fldChar w:fldCharType="end"/>
      </w:r>
      <w:r>
        <w:rPr>
          <w:rFonts w:cs="Arial"/>
          <w:b/>
          <w:bCs/>
        </w:rPr>
        <w:fldChar w:fldCharType="begin"/>
      </w:r>
      <w:r>
        <w:rPr>
          <w:rFonts w:cs="Arial"/>
          <w:b/>
          <w:bCs/>
        </w:rPr>
        <w:instrText xml:space="preserve"> HYPERLINK "https://www.tees.ac.uk/docs/index.cfm?folder=Student%20regulations&amp;name=Academic%20Regulations&amp;folder_id=44" </w:instrText>
      </w:r>
      <w:r>
        <w:rPr>
          <w:rFonts w:cs="Arial"/>
          <w:b/>
          <w:bCs/>
        </w:rPr>
      </w:r>
      <w:r>
        <w:rPr>
          <w:rFonts w:cs="Arial"/>
          <w:b/>
          <w:bCs/>
        </w:rPr>
        <w:fldChar w:fldCharType="separate"/>
      </w:r>
      <w:r w:rsidR="00D94F85" w:rsidRPr="00CB7E00">
        <w:rPr>
          <w:rStyle w:val="Hyperlink"/>
          <w:rFonts w:cs="Arial"/>
          <w:b/>
          <w:bCs/>
        </w:rPr>
        <w:t>Recognition of Prior Learning Policy</w:t>
      </w:r>
    </w:p>
    <w:p w14:paraId="255E0283" w14:textId="615B3593" w:rsidR="00A23361" w:rsidRPr="00502CDB" w:rsidRDefault="00CB7E00" w:rsidP="00502CDB">
      <w:pPr>
        <w:pStyle w:val="ListParagraph"/>
        <w:numPr>
          <w:ilvl w:val="0"/>
          <w:numId w:val="22"/>
        </w:numPr>
        <w:tabs>
          <w:tab w:val="left" w:pos="900"/>
          <w:tab w:val="left" w:pos="1080"/>
        </w:tabs>
        <w:ind w:left="1620" w:right="-46"/>
        <w:contextualSpacing w:val="0"/>
        <w:rPr>
          <w:rStyle w:val="Hyperlink"/>
          <w:rFonts w:cs="Arial"/>
        </w:rPr>
      </w:pPr>
      <w:r>
        <w:rPr>
          <w:rFonts w:cs="Arial"/>
          <w:b/>
          <w:bCs/>
        </w:rPr>
        <w:fldChar w:fldCharType="end"/>
      </w:r>
      <w:r>
        <w:rPr>
          <w:b/>
          <w:bCs/>
          <w:szCs w:val="24"/>
        </w:rPr>
        <w:fldChar w:fldCharType="begin"/>
      </w:r>
      <w:r w:rsidRPr="00502CDB">
        <w:rPr>
          <w:b/>
          <w:bCs/>
          <w:szCs w:val="24"/>
        </w:rPr>
        <w:instrText xml:space="preserve"> HYPERLINK "https://www.tees.ac.uk/docs/index.cfm?folder=Student%20regulations&amp;name=Academic%20Regulations&amp;folder_id=44" </w:instrText>
      </w:r>
      <w:r>
        <w:rPr>
          <w:b/>
          <w:bCs/>
          <w:szCs w:val="24"/>
        </w:rPr>
      </w:r>
      <w:r>
        <w:rPr>
          <w:b/>
          <w:bCs/>
          <w:szCs w:val="24"/>
        </w:rPr>
        <w:fldChar w:fldCharType="separate"/>
      </w:r>
      <w:r w:rsidR="000F1240" w:rsidRPr="00502CDB">
        <w:rPr>
          <w:rStyle w:val="Hyperlink"/>
          <w:b/>
          <w:bCs/>
          <w:szCs w:val="24"/>
        </w:rPr>
        <w:t>Extenuating Circumstances Regulations</w:t>
      </w:r>
    </w:p>
    <w:p w14:paraId="7FF7C25C" w14:textId="44CDD03E" w:rsidR="00A23361" w:rsidRDefault="00CB7E00" w:rsidP="0064427E">
      <w:pPr>
        <w:pStyle w:val="CLQEParagraph"/>
        <w:tabs>
          <w:tab w:val="left" w:pos="900"/>
        </w:tabs>
        <w:ind w:left="180" w:right="-1"/>
        <w:rPr>
          <w:rFonts w:cs="Arial"/>
          <w:sz w:val="24"/>
          <w:szCs w:val="24"/>
        </w:rPr>
      </w:pPr>
      <w:r>
        <w:rPr>
          <w:rFonts w:eastAsiaTheme="minorHAnsi" w:cstheme="minorBidi"/>
          <w:b/>
          <w:bCs/>
          <w:sz w:val="24"/>
          <w:szCs w:val="24"/>
        </w:rPr>
        <w:fldChar w:fldCharType="end"/>
      </w:r>
    </w:p>
    <w:p w14:paraId="05F32EAF" w14:textId="739DA116" w:rsidR="00D77069" w:rsidRPr="00FD3788" w:rsidRDefault="00D77069" w:rsidP="0064427E">
      <w:pPr>
        <w:pStyle w:val="CLQEParagraph"/>
        <w:tabs>
          <w:tab w:val="left" w:pos="900"/>
        </w:tabs>
        <w:ind w:left="900" w:right="-1"/>
        <w:rPr>
          <w:rFonts w:cs="Arial"/>
          <w:sz w:val="24"/>
          <w:szCs w:val="24"/>
        </w:rPr>
      </w:pPr>
      <w:r w:rsidRPr="6447A6AC">
        <w:rPr>
          <w:sz w:val="24"/>
          <w:szCs w:val="24"/>
        </w:rPr>
        <w:t xml:space="preserve">The contents of this document are aligned with the </w:t>
      </w:r>
      <w:r>
        <w:rPr>
          <w:rFonts w:cs="Arial"/>
          <w:sz w:val="24"/>
          <w:szCs w:val="24"/>
        </w:rPr>
        <w:t xml:space="preserve">Office for Students regulatory framework, specifically the </w:t>
      </w:r>
      <w:hyperlink r:id="rId15" w:history="1">
        <w:r w:rsidRPr="00EF6302">
          <w:rPr>
            <w:rStyle w:val="Hyperlink"/>
            <w:rFonts w:cs="Arial"/>
            <w:b/>
            <w:bCs/>
            <w:color w:val="0070C0"/>
            <w:sz w:val="24"/>
            <w:szCs w:val="24"/>
          </w:rPr>
          <w:t>Quality and Standards Conditions</w:t>
        </w:r>
      </w:hyperlink>
      <w:r w:rsidRPr="00FD3788">
        <w:rPr>
          <w:rFonts w:cs="Arial"/>
          <w:sz w:val="24"/>
          <w:szCs w:val="24"/>
        </w:rPr>
        <w:t xml:space="preserve"> as appropriate and </w:t>
      </w:r>
      <w:r w:rsidRPr="00FD3788">
        <w:rPr>
          <w:sz w:val="24"/>
          <w:szCs w:val="24"/>
        </w:rPr>
        <w:t>the Quality Assurance Agency’s (QAA’s)</w:t>
      </w:r>
      <w:r>
        <w:rPr>
          <w:sz w:val="24"/>
          <w:szCs w:val="24"/>
        </w:rPr>
        <w:t xml:space="preserve"> </w:t>
      </w:r>
      <w:hyperlink r:id="rId16">
        <w:r w:rsidRPr="00FD3788">
          <w:rPr>
            <w:rStyle w:val="Hyperlink"/>
            <w:rFonts w:eastAsiaTheme="majorEastAsia" w:cs="Arial"/>
            <w:b/>
            <w:bCs/>
            <w:color w:val="0070C0"/>
            <w:sz w:val="24"/>
            <w:szCs w:val="24"/>
          </w:rPr>
          <w:t>UK Quality Code for Higher Education</w:t>
        </w:r>
      </w:hyperlink>
      <w:r w:rsidRPr="00FD3788">
        <w:rPr>
          <w:rFonts w:cs="Arial"/>
          <w:b/>
          <w:bCs/>
          <w:sz w:val="24"/>
          <w:szCs w:val="24"/>
        </w:rPr>
        <w:t xml:space="preserve"> </w:t>
      </w:r>
      <w:r w:rsidRPr="00FD3788">
        <w:rPr>
          <w:rFonts w:cs="Arial"/>
          <w:sz w:val="24"/>
          <w:szCs w:val="24"/>
        </w:rPr>
        <w:t xml:space="preserve">and the </w:t>
      </w:r>
      <w:hyperlink r:id="rId17">
        <w:r w:rsidRPr="00FD3788">
          <w:rPr>
            <w:rStyle w:val="Hyperlink"/>
            <w:rFonts w:eastAsiaTheme="majorEastAsia" w:cs="Arial"/>
            <w:b/>
            <w:bCs/>
            <w:color w:val="0070C0"/>
            <w:sz w:val="24"/>
            <w:szCs w:val="24"/>
          </w:rPr>
          <w:t>Advice and Guidance: External Expertise</w:t>
        </w:r>
      </w:hyperlink>
      <w:r w:rsidRPr="00FD3788">
        <w:rPr>
          <w:rFonts w:cs="Arial"/>
          <w:sz w:val="24"/>
          <w:szCs w:val="24"/>
        </w:rPr>
        <w:t xml:space="preserve"> publication.</w:t>
      </w:r>
    </w:p>
    <w:p w14:paraId="4B187FFF" w14:textId="77777777" w:rsidR="00D77069" w:rsidRPr="003C3D78" w:rsidRDefault="00D77069" w:rsidP="0064427E">
      <w:pPr>
        <w:pStyle w:val="CLQEParagraph"/>
        <w:tabs>
          <w:tab w:val="left" w:pos="900"/>
        </w:tabs>
        <w:ind w:left="180" w:right="-1"/>
        <w:rPr>
          <w:rFonts w:cs="Arial"/>
          <w:sz w:val="24"/>
          <w:szCs w:val="24"/>
        </w:rPr>
      </w:pPr>
    </w:p>
    <w:p w14:paraId="15F0A8C8" w14:textId="757502FB" w:rsidR="000D0B2D" w:rsidRDefault="000D0B2D" w:rsidP="0064427E">
      <w:pPr>
        <w:pStyle w:val="CLQEParagraph"/>
        <w:tabs>
          <w:tab w:val="left" w:pos="900"/>
        </w:tabs>
        <w:ind w:left="889" w:right="-1"/>
        <w:rPr>
          <w:sz w:val="24"/>
          <w:szCs w:val="24"/>
        </w:rPr>
      </w:pPr>
      <w:r w:rsidRPr="003C3D78">
        <w:rPr>
          <w:rFonts w:cs="Arial"/>
          <w:sz w:val="24"/>
          <w:szCs w:val="24"/>
        </w:rPr>
        <w:t xml:space="preserve">This document </w:t>
      </w:r>
      <w:r w:rsidR="00B7489C">
        <w:rPr>
          <w:rFonts w:cs="Arial"/>
          <w:sz w:val="24"/>
          <w:szCs w:val="24"/>
        </w:rPr>
        <w:t>is supplemented by</w:t>
      </w:r>
      <w:r w:rsidRPr="003C3D78">
        <w:rPr>
          <w:rFonts w:cs="Arial"/>
          <w:sz w:val="24"/>
          <w:szCs w:val="24"/>
        </w:rPr>
        <w:t xml:space="preserve"> the </w:t>
      </w:r>
      <w:r w:rsidRPr="003C3D78">
        <w:rPr>
          <w:sz w:val="24"/>
          <w:szCs w:val="24"/>
        </w:rPr>
        <w:t>External Examining</w:t>
      </w:r>
      <w:r w:rsidR="00E714F9">
        <w:rPr>
          <w:sz w:val="24"/>
          <w:szCs w:val="24"/>
        </w:rPr>
        <w:t xml:space="preserve"> Operational</w:t>
      </w:r>
      <w:r w:rsidRPr="003C3D78">
        <w:rPr>
          <w:sz w:val="24"/>
          <w:szCs w:val="24"/>
        </w:rPr>
        <w:t xml:space="preserve"> Guidance (Taught Provision)</w:t>
      </w:r>
      <w:r w:rsidR="00A95273">
        <w:rPr>
          <w:sz w:val="24"/>
          <w:szCs w:val="24"/>
        </w:rPr>
        <w:t>, which contain</w:t>
      </w:r>
      <w:r w:rsidR="00441BAA">
        <w:rPr>
          <w:sz w:val="24"/>
          <w:szCs w:val="24"/>
        </w:rPr>
        <w:t>s</w:t>
      </w:r>
      <w:r w:rsidR="00A95273">
        <w:rPr>
          <w:sz w:val="24"/>
          <w:szCs w:val="24"/>
        </w:rPr>
        <w:t xml:space="preserve"> details of the </w:t>
      </w:r>
      <w:r w:rsidR="00AC792A">
        <w:rPr>
          <w:sz w:val="24"/>
          <w:szCs w:val="24"/>
        </w:rPr>
        <w:t xml:space="preserve">underpinning </w:t>
      </w:r>
      <w:r w:rsidR="00A95273">
        <w:rPr>
          <w:sz w:val="24"/>
          <w:szCs w:val="24"/>
        </w:rPr>
        <w:t>processes</w:t>
      </w:r>
      <w:r w:rsidRPr="003C3D78">
        <w:rPr>
          <w:sz w:val="24"/>
          <w:szCs w:val="24"/>
        </w:rPr>
        <w:t>.</w:t>
      </w:r>
    </w:p>
    <w:p w14:paraId="25004E19" w14:textId="77777777" w:rsidR="00441BAA" w:rsidRDefault="00441BAA" w:rsidP="00F208B1">
      <w:pPr>
        <w:pStyle w:val="CLQEParagraph"/>
        <w:ind w:left="709" w:right="-1"/>
        <w:rPr>
          <w:sz w:val="24"/>
          <w:szCs w:val="24"/>
        </w:rPr>
      </w:pPr>
    </w:p>
    <w:p w14:paraId="054C5ABE" w14:textId="40CE3F85" w:rsidR="00092CE8" w:rsidRDefault="00092CE8" w:rsidP="00092CE8">
      <w:pPr>
        <w:pStyle w:val="CLQEParagraph"/>
        <w:ind w:left="0" w:right="-1"/>
        <w:rPr>
          <w:sz w:val="24"/>
          <w:szCs w:val="24"/>
        </w:rPr>
      </w:pPr>
    </w:p>
    <w:p w14:paraId="17F9B4A5" w14:textId="77777777" w:rsidR="006A530D" w:rsidRDefault="006A530D" w:rsidP="00092CE8">
      <w:pPr>
        <w:pStyle w:val="CLQEParagraph"/>
        <w:ind w:left="0" w:right="-1"/>
        <w:rPr>
          <w:sz w:val="24"/>
          <w:szCs w:val="24"/>
        </w:rPr>
      </w:pPr>
    </w:p>
    <w:p w14:paraId="0ACD63E2" w14:textId="0ABD8930" w:rsidR="00002240" w:rsidRPr="0064427E" w:rsidRDefault="00002240" w:rsidP="0064427E">
      <w:pPr>
        <w:pStyle w:val="Heading1"/>
      </w:pPr>
      <w:bookmarkStart w:id="2" w:name="_Toc134519908"/>
      <w:r w:rsidRPr="0064427E">
        <w:lastRenderedPageBreak/>
        <w:t>2.</w:t>
      </w:r>
      <w:r w:rsidRPr="0064427E">
        <w:tab/>
      </w:r>
      <w:r w:rsidR="00895077" w:rsidRPr="0064427E">
        <w:t xml:space="preserve">Appointment and Terms </w:t>
      </w:r>
      <w:r w:rsidR="0054680A" w:rsidRPr="0064427E">
        <w:t>o</w:t>
      </w:r>
      <w:r w:rsidR="00895077" w:rsidRPr="0064427E">
        <w:t>f Office</w:t>
      </w:r>
      <w:bookmarkEnd w:id="2"/>
    </w:p>
    <w:p w14:paraId="68CC2A04" w14:textId="2CD12092" w:rsidR="00002240" w:rsidRDefault="00002240" w:rsidP="00002240">
      <w:pPr>
        <w:ind w:left="851" w:hanging="851"/>
        <w:rPr>
          <w:szCs w:val="24"/>
        </w:rPr>
      </w:pPr>
    </w:p>
    <w:p w14:paraId="6DDB3A95" w14:textId="2A9E8C91" w:rsidR="007F42F3" w:rsidRDefault="007F42F3" w:rsidP="007F42F3">
      <w:pPr>
        <w:pStyle w:val="Heading2"/>
        <w:ind w:left="851" w:hanging="851"/>
      </w:pPr>
      <w:bookmarkStart w:id="3" w:name="_Toc134519909"/>
      <w:r>
        <w:t>2.1</w:t>
      </w:r>
      <w:r>
        <w:tab/>
        <w:t>Appointment</w:t>
      </w:r>
      <w:bookmarkEnd w:id="3"/>
    </w:p>
    <w:p w14:paraId="16EC361C" w14:textId="77777777" w:rsidR="007F42F3" w:rsidRDefault="007F42F3" w:rsidP="00002240">
      <w:pPr>
        <w:ind w:left="851" w:hanging="851"/>
        <w:rPr>
          <w:szCs w:val="24"/>
        </w:rPr>
      </w:pPr>
    </w:p>
    <w:p w14:paraId="78275EB3" w14:textId="3C1FD413" w:rsidR="00BE55D7" w:rsidRDefault="00BE55D7" w:rsidP="0064427E">
      <w:pPr>
        <w:tabs>
          <w:tab w:val="left" w:pos="1440"/>
        </w:tabs>
        <w:ind w:left="851"/>
      </w:pPr>
      <w:r w:rsidRPr="5C81F5C9">
        <w:t xml:space="preserve">The </w:t>
      </w:r>
      <w:r w:rsidR="00862B48" w:rsidRPr="5C81F5C9">
        <w:t xml:space="preserve">full </w:t>
      </w:r>
      <w:r w:rsidR="00A73304" w:rsidRPr="5C81F5C9">
        <w:t xml:space="preserve">process for the </w:t>
      </w:r>
      <w:r w:rsidRPr="5C81F5C9">
        <w:t>appointment of External Examiner</w:t>
      </w:r>
      <w:r w:rsidR="00862B48" w:rsidRPr="5C81F5C9">
        <w:t>s</w:t>
      </w:r>
      <w:r>
        <w:rPr>
          <w:szCs w:val="24"/>
        </w:rPr>
        <w:t xml:space="preserve"> </w:t>
      </w:r>
      <w:r w:rsidR="00A73304" w:rsidRPr="5C81F5C9">
        <w:t xml:space="preserve">is </w:t>
      </w:r>
      <w:r w:rsidR="00BC3853" w:rsidRPr="5C81F5C9">
        <w:t>detailed</w:t>
      </w:r>
      <w:r w:rsidR="00A73304" w:rsidRPr="5C81F5C9">
        <w:t xml:space="preserve"> within </w:t>
      </w:r>
      <w:r w:rsidR="000C0DA3" w:rsidRPr="0099190E">
        <w:t xml:space="preserve">the </w:t>
      </w:r>
      <w:r w:rsidR="00225E2C" w:rsidRPr="0099190E">
        <w:t>External Examining Operational Guidance (Taught Provision)</w:t>
      </w:r>
      <w:r w:rsidR="007D5B1C" w:rsidRPr="5C81F5C9">
        <w:t xml:space="preserve">. </w:t>
      </w:r>
      <w:r w:rsidR="00BC3853" w:rsidRPr="5C81F5C9">
        <w:t xml:space="preserve">The following key points </w:t>
      </w:r>
      <w:r w:rsidRPr="5C81F5C9">
        <w:t xml:space="preserve">should </w:t>
      </w:r>
      <w:r w:rsidR="00BC3853" w:rsidRPr="5C81F5C9">
        <w:t>be noted</w:t>
      </w:r>
      <w:r>
        <w:rPr>
          <w:szCs w:val="24"/>
        </w:rPr>
        <w:t>:</w:t>
      </w:r>
    </w:p>
    <w:p w14:paraId="681A819D" w14:textId="77777777" w:rsidR="00BE55D7" w:rsidRDefault="00BE55D7" w:rsidP="0064427E">
      <w:pPr>
        <w:tabs>
          <w:tab w:val="left" w:pos="1440"/>
        </w:tabs>
        <w:ind w:left="851"/>
        <w:rPr>
          <w:szCs w:val="24"/>
        </w:rPr>
      </w:pPr>
    </w:p>
    <w:p w14:paraId="6CE51FDD" w14:textId="3CFABB67" w:rsidR="001F29F5" w:rsidRDefault="001F29F5" w:rsidP="0064427E">
      <w:pPr>
        <w:tabs>
          <w:tab w:val="left" w:pos="1440"/>
        </w:tabs>
        <w:ind w:left="851"/>
        <w:rPr>
          <w:szCs w:val="24"/>
        </w:rPr>
      </w:pPr>
      <w:r w:rsidRPr="003A5627">
        <w:rPr>
          <w:szCs w:val="24"/>
        </w:rPr>
        <w:t xml:space="preserve">The number of External Examiners appointed to each course </w:t>
      </w:r>
      <w:r w:rsidR="00BA453D">
        <w:rPr>
          <w:szCs w:val="24"/>
        </w:rPr>
        <w:t>must</w:t>
      </w:r>
      <w:r w:rsidR="00BA453D" w:rsidRPr="003A5627">
        <w:rPr>
          <w:szCs w:val="24"/>
        </w:rPr>
        <w:t xml:space="preserve"> </w:t>
      </w:r>
      <w:r w:rsidRPr="003A5627">
        <w:rPr>
          <w:szCs w:val="24"/>
        </w:rPr>
        <w:t>be sufficient to cover all areas of the curriculum under assessment</w:t>
      </w:r>
      <w:r w:rsidR="00435089">
        <w:rPr>
          <w:szCs w:val="24"/>
        </w:rPr>
        <w:t xml:space="preserve"> and</w:t>
      </w:r>
      <w:r w:rsidR="00EF462F">
        <w:rPr>
          <w:szCs w:val="24"/>
        </w:rPr>
        <w:t>,</w:t>
      </w:r>
      <w:r w:rsidR="00435089">
        <w:rPr>
          <w:szCs w:val="24"/>
        </w:rPr>
        <w:t xml:space="preserve"> in the case of Professional Doctorate Advanced Independent Work</w:t>
      </w:r>
      <w:r w:rsidR="00DC6A38">
        <w:rPr>
          <w:szCs w:val="24"/>
        </w:rPr>
        <w:t xml:space="preserve"> (AIW)</w:t>
      </w:r>
      <w:r w:rsidR="00EF462F">
        <w:rPr>
          <w:szCs w:val="24"/>
        </w:rPr>
        <w:t>,</w:t>
      </w:r>
      <w:r w:rsidR="00435089">
        <w:rPr>
          <w:szCs w:val="24"/>
        </w:rPr>
        <w:t xml:space="preserve"> align with the University’s regulatory requirements</w:t>
      </w:r>
      <w:r w:rsidR="007D5B1C" w:rsidRPr="003A5627">
        <w:rPr>
          <w:szCs w:val="24"/>
        </w:rPr>
        <w:t>.</w:t>
      </w:r>
      <w:r w:rsidR="007D5B1C">
        <w:rPr>
          <w:szCs w:val="24"/>
        </w:rPr>
        <w:t xml:space="preserve"> </w:t>
      </w:r>
    </w:p>
    <w:p w14:paraId="2309E165" w14:textId="3E759AE7" w:rsidR="00AF534B" w:rsidRDefault="00AF534B" w:rsidP="0064427E">
      <w:pPr>
        <w:tabs>
          <w:tab w:val="left" w:pos="1440"/>
        </w:tabs>
        <w:ind w:left="851"/>
        <w:rPr>
          <w:szCs w:val="24"/>
        </w:rPr>
      </w:pPr>
    </w:p>
    <w:p w14:paraId="46A9BE10" w14:textId="2927AD43" w:rsidR="00AF534B" w:rsidRDefault="009A2269" w:rsidP="0064427E">
      <w:pPr>
        <w:tabs>
          <w:tab w:val="left" w:pos="1440"/>
        </w:tabs>
        <w:ind w:left="851"/>
      </w:pPr>
      <w:r>
        <w:rPr>
          <w:rFonts w:cs="Arial"/>
        </w:rPr>
        <w:t xml:space="preserve">External </w:t>
      </w:r>
      <w:r w:rsidR="00AF534B" w:rsidRPr="63DF70D2">
        <w:rPr>
          <w:rFonts w:cs="Arial"/>
        </w:rPr>
        <w:t xml:space="preserve">Examiners </w:t>
      </w:r>
      <w:r w:rsidR="00DE720C">
        <w:rPr>
          <w:rFonts w:cs="Arial"/>
        </w:rPr>
        <w:t xml:space="preserve">will have appropriate subject expertise and </w:t>
      </w:r>
      <w:r w:rsidR="005D3641">
        <w:rPr>
          <w:rFonts w:cs="Arial"/>
        </w:rPr>
        <w:t>must</w:t>
      </w:r>
      <w:r w:rsidR="00DE720C" w:rsidRPr="63DF70D2">
        <w:rPr>
          <w:rFonts w:cs="Arial"/>
        </w:rPr>
        <w:t xml:space="preserve"> </w:t>
      </w:r>
      <w:r w:rsidR="00AF534B" w:rsidRPr="63DF70D2">
        <w:rPr>
          <w:rFonts w:cs="Arial"/>
        </w:rPr>
        <w:t xml:space="preserve">be drawn from a variety of </w:t>
      </w:r>
      <w:r w:rsidR="004F696E">
        <w:rPr>
          <w:rFonts w:cs="Arial"/>
        </w:rPr>
        <w:t>relevant</w:t>
      </w:r>
      <w:r w:rsidR="00DE720C">
        <w:rPr>
          <w:rFonts w:cs="Arial"/>
        </w:rPr>
        <w:t xml:space="preserve"> professional and/or </w:t>
      </w:r>
      <w:r w:rsidR="00890A08">
        <w:rPr>
          <w:rFonts w:cs="Arial"/>
        </w:rPr>
        <w:t>education</w:t>
      </w:r>
      <w:r w:rsidR="004F578D">
        <w:rPr>
          <w:rFonts w:cs="Arial"/>
        </w:rPr>
        <w:t>al</w:t>
      </w:r>
      <w:r w:rsidR="00DE720C">
        <w:rPr>
          <w:rFonts w:cs="Arial"/>
        </w:rPr>
        <w:t xml:space="preserve"> </w:t>
      </w:r>
      <w:r w:rsidR="00AF534B" w:rsidRPr="63DF70D2">
        <w:rPr>
          <w:rFonts w:cs="Arial"/>
        </w:rPr>
        <w:t>contexts, to ensure that the academic provision benefit</w:t>
      </w:r>
      <w:r w:rsidR="00DE720C">
        <w:rPr>
          <w:rFonts w:cs="Arial"/>
        </w:rPr>
        <w:t>s</w:t>
      </w:r>
      <w:r w:rsidR="00AF534B" w:rsidRPr="63DF70D2">
        <w:rPr>
          <w:rFonts w:cs="Arial"/>
        </w:rPr>
        <w:t xml:space="preserve"> from wide-ranging external scrutiny</w:t>
      </w:r>
      <w:r w:rsidR="007D5B1C" w:rsidRPr="63DF70D2">
        <w:rPr>
          <w:rFonts w:cs="Arial"/>
        </w:rPr>
        <w:t xml:space="preserve">. </w:t>
      </w:r>
    </w:p>
    <w:p w14:paraId="6A84FD67" w14:textId="70E64594" w:rsidR="003E4464" w:rsidRDefault="003E4464" w:rsidP="0064427E">
      <w:pPr>
        <w:tabs>
          <w:tab w:val="left" w:pos="1440"/>
        </w:tabs>
        <w:ind w:left="851"/>
        <w:rPr>
          <w:szCs w:val="24"/>
        </w:rPr>
      </w:pPr>
    </w:p>
    <w:p w14:paraId="6EE29BF8" w14:textId="0433B55F" w:rsidR="008C2E98" w:rsidRDefault="008C2E98" w:rsidP="0064427E">
      <w:pPr>
        <w:tabs>
          <w:tab w:val="left" w:pos="1440"/>
        </w:tabs>
        <w:ind w:left="851"/>
        <w:rPr>
          <w:szCs w:val="24"/>
        </w:rPr>
      </w:pPr>
      <w:r w:rsidRPr="003A5627">
        <w:rPr>
          <w:szCs w:val="24"/>
        </w:rPr>
        <w:t xml:space="preserve">Schools must </w:t>
      </w:r>
      <w:r w:rsidR="002A5580">
        <w:rPr>
          <w:szCs w:val="24"/>
        </w:rPr>
        <w:t>appoint</w:t>
      </w:r>
      <w:r w:rsidR="0057323B">
        <w:rPr>
          <w:szCs w:val="24"/>
        </w:rPr>
        <w:t xml:space="preserve"> External</w:t>
      </w:r>
      <w:r w:rsidRPr="003A5627">
        <w:rPr>
          <w:szCs w:val="24"/>
        </w:rPr>
        <w:t xml:space="preserve"> Examiners </w:t>
      </w:r>
      <w:r>
        <w:rPr>
          <w:szCs w:val="24"/>
        </w:rPr>
        <w:t>in a timely way</w:t>
      </w:r>
      <w:r w:rsidRPr="003A5627">
        <w:rPr>
          <w:szCs w:val="24"/>
        </w:rPr>
        <w:t xml:space="preserve"> to </w:t>
      </w:r>
      <w:r w:rsidR="002A5580">
        <w:rPr>
          <w:szCs w:val="24"/>
        </w:rPr>
        <w:t>ensure</w:t>
      </w:r>
      <w:r w:rsidRPr="003A5627">
        <w:rPr>
          <w:szCs w:val="24"/>
        </w:rPr>
        <w:t xml:space="preserve"> that appropriate levels of </w:t>
      </w:r>
      <w:r w:rsidR="00D971A0">
        <w:rPr>
          <w:szCs w:val="24"/>
        </w:rPr>
        <w:t>external oversight</w:t>
      </w:r>
      <w:r w:rsidRPr="003A5627">
        <w:rPr>
          <w:szCs w:val="24"/>
        </w:rPr>
        <w:t xml:space="preserve"> are maintained</w:t>
      </w:r>
      <w:r w:rsidR="007D5B1C">
        <w:rPr>
          <w:szCs w:val="24"/>
        </w:rPr>
        <w:t xml:space="preserve">. </w:t>
      </w:r>
      <w:r w:rsidR="00104E6A">
        <w:rPr>
          <w:szCs w:val="24"/>
        </w:rPr>
        <w:t>I</w:t>
      </w:r>
      <w:r w:rsidR="00BE4D59">
        <w:rPr>
          <w:szCs w:val="24"/>
        </w:rPr>
        <w:t xml:space="preserve">deally a new </w:t>
      </w:r>
      <w:r w:rsidR="00BE5B90">
        <w:rPr>
          <w:szCs w:val="24"/>
        </w:rPr>
        <w:t xml:space="preserve">External </w:t>
      </w:r>
      <w:r w:rsidR="00BE4D59">
        <w:rPr>
          <w:szCs w:val="24"/>
        </w:rPr>
        <w:t xml:space="preserve">Examiner </w:t>
      </w:r>
      <w:r w:rsidR="002824BF">
        <w:rPr>
          <w:szCs w:val="24"/>
        </w:rPr>
        <w:t>w</w:t>
      </w:r>
      <w:r w:rsidR="00BE4D59">
        <w:rPr>
          <w:szCs w:val="24"/>
        </w:rPr>
        <w:t xml:space="preserve">ould start their tenure </w:t>
      </w:r>
      <w:r w:rsidR="00E31933" w:rsidRPr="00370973">
        <w:rPr>
          <w:szCs w:val="24"/>
        </w:rPr>
        <w:t xml:space="preserve">just </w:t>
      </w:r>
      <w:r w:rsidR="00BE4D59" w:rsidRPr="00370973">
        <w:rPr>
          <w:szCs w:val="24"/>
        </w:rPr>
        <w:t>before the</w:t>
      </w:r>
      <w:r w:rsidR="00581F8E" w:rsidRPr="00370973">
        <w:rPr>
          <w:szCs w:val="24"/>
        </w:rPr>
        <w:t xml:space="preserve"> end of their</w:t>
      </w:r>
      <w:r w:rsidR="00BE4D59" w:rsidRPr="00370973">
        <w:rPr>
          <w:szCs w:val="24"/>
        </w:rPr>
        <w:t xml:space="preserve"> </w:t>
      </w:r>
      <w:r w:rsidR="000E5C88" w:rsidRPr="00370973">
        <w:rPr>
          <w:szCs w:val="24"/>
        </w:rPr>
        <w:t>predecessor’s</w:t>
      </w:r>
      <w:r w:rsidR="00BE4D59" w:rsidRPr="00370973">
        <w:rPr>
          <w:szCs w:val="24"/>
        </w:rPr>
        <w:t xml:space="preserve"> </w:t>
      </w:r>
      <w:r w:rsidR="00CA72B9" w:rsidRPr="00370973">
        <w:rPr>
          <w:szCs w:val="24"/>
        </w:rPr>
        <w:t>tenure so there is a handover period.</w:t>
      </w:r>
    </w:p>
    <w:p w14:paraId="1630BD81" w14:textId="77777777" w:rsidR="003A5627" w:rsidRPr="003A5627" w:rsidRDefault="003A5627" w:rsidP="0064427E">
      <w:pPr>
        <w:tabs>
          <w:tab w:val="left" w:pos="1440"/>
        </w:tabs>
        <w:ind w:left="851"/>
        <w:rPr>
          <w:szCs w:val="24"/>
        </w:rPr>
      </w:pPr>
    </w:p>
    <w:p w14:paraId="5288DDAA" w14:textId="791F9B06" w:rsidR="003B47DB" w:rsidRDefault="003B47DB" w:rsidP="0064427E">
      <w:pPr>
        <w:tabs>
          <w:tab w:val="left" w:pos="1440"/>
        </w:tabs>
        <w:ind w:left="851"/>
      </w:pPr>
      <w:r>
        <w:t xml:space="preserve">All </w:t>
      </w:r>
      <w:r w:rsidR="005A1222">
        <w:t>application</w:t>
      </w:r>
      <w:r w:rsidR="00A30DBE">
        <w:t>s</w:t>
      </w:r>
      <w:r w:rsidR="005A1222">
        <w:t xml:space="preserve"> </w:t>
      </w:r>
      <w:r w:rsidR="004F696E">
        <w:t xml:space="preserve">must </w:t>
      </w:r>
      <w:r>
        <w:t xml:space="preserve">meet the </w:t>
      </w:r>
      <w:r w:rsidR="00AE1AD1">
        <w:t xml:space="preserve">University’s </w:t>
      </w:r>
      <w:r>
        <w:t>criteria for appointment</w:t>
      </w:r>
      <w:r w:rsidR="00C474E1">
        <w:t xml:space="preserve">, </w:t>
      </w:r>
      <w:r w:rsidR="00FF6668">
        <w:t xml:space="preserve">avoid </w:t>
      </w:r>
      <w:r w:rsidR="00AE1AD1">
        <w:t xml:space="preserve">the indicated </w:t>
      </w:r>
      <w:r w:rsidR="00FF6668">
        <w:t>conflicts of interest</w:t>
      </w:r>
      <w:r w:rsidR="00416EA2">
        <w:t xml:space="preserve"> and</w:t>
      </w:r>
      <w:r w:rsidR="00C00892">
        <w:t xml:space="preserve"> be submitted using the University’s standard </w:t>
      </w:r>
      <w:r w:rsidR="005A1222">
        <w:t xml:space="preserve">application </w:t>
      </w:r>
      <w:r w:rsidR="00C00892">
        <w:t>form</w:t>
      </w:r>
      <w:r w:rsidR="007D5B1C">
        <w:t xml:space="preserve">. </w:t>
      </w:r>
    </w:p>
    <w:p w14:paraId="546B9859" w14:textId="77777777" w:rsidR="00AE1AD1" w:rsidRPr="003A5627" w:rsidRDefault="00AE1AD1" w:rsidP="0064427E">
      <w:pPr>
        <w:tabs>
          <w:tab w:val="left" w:pos="1440"/>
        </w:tabs>
        <w:ind w:left="851"/>
        <w:rPr>
          <w:szCs w:val="24"/>
        </w:rPr>
      </w:pPr>
    </w:p>
    <w:p w14:paraId="4EE0FF05" w14:textId="59A844ED" w:rsidR="00FF6668" w:rsidRDefault="00423A65" w:rsidP="0064427E">
      <w:pPr>
        <w:tabs>
          <w:tab w:val="left" w:pos="1440"/>
        </w:tabs>
        <w:ind w:left="851"/>
        <w:rPr>
          <w:szCs w:val="24"/>
        </w:rPr>
      </w:pPr>
      <w:r>
        <w:rPr>
          <w:szCs w:val="24"/>
        </w:rPr>
        <w:t>I</w:t>
      </w:r>
      <w:r w:rsidR="00FF6668" w:rsidRPr="003A5627">
        <w:rPr>
          <w:szCs w:val="24"/>
        </w:rPr>
        <w:t xml:space="preserve">nformation is </w:t>
      </w:r>
      <w:r w:rsidR="00D74F01">
        <w:rPr>
          <w:szCs w:val="24"/>
        </w:rPr>
        <w:t xml:space="preserve">collected annually and </w:t>
      </w:r>
      <w:r w:rsidR="00FF6668" w:rsidRPr="003A5627">
        <w:rPr>
          <w:szCs w:val="24"/>
        </w:rPr>
        <w:t xml:space="preserve">held centrally </w:t>
      </w:r>
      <w:r w:rsidR="00D74F01">
        <w:rPr>
          <w:szCs w:val="24"/>
        </w:rPr>
        <w:t>by the Student Learning &amp; Academic Registry</w:t>
      </w:r>
      <w:r w:rsidR="004D6F8F">
        <w:rPr>
          <w:szCs w:val="24"/>
        </w:rPr>
        <w:t xml:space="preserve"> (SLAR)</w:t>
      </w:r>
      <w:r>
        <w:rPr>
          <w:szCs w:val="24"/>
        </w:rPr>
        <w:t xml:space="preserve"> to ensure there is clear independence between University staff and External Examiners involved in </w:t>
      </w:r>
      <w:r w:rsidR="006632CC">
        <w:rPr>
          <w:szCs w:val="24"/>
        </w:rPr>
        <w:t>modules and courses</w:t>
      </w:r>
      <w:r w:rsidR="007D5B1C">
        <w:rPr>
          <w:szCs w:val="24"/>
        </w:rPr>
        <w:t xml:space="preserve">. </w:t>
      </w:r>
      <w:r w:rsidR="00D74F01">
        <w:rPr>
          <w:szCs w:val="24"/>
        </w:rPr>
        <w:t xml:space="preserve">The </w:t>
      </w:r>
      <w:r w:rsidR="0054740C">
        <w:rPr>
          <w:szCs w:val="24"/>
        </w:rPr>
        <w:t xml:space="preserve">information </w:t>
      </w:r>
      <w:r w:rsidR="00FF6668" w:rsidRPr="003A5627">
        <w:rPr>
          <w:szCs w:val="24"/>
        </w:rPr>
        <w:t>will be checked at the time of appointment</w:t>
      </w:r>
      <w:r w:rsidR="007D5B1C" w:rsidRPr="003A5627">
        <w:rPr>
          <w:szCs w:val="24"/>
        </w:rPr>
        <w:t>.</w:t>
      </w:r>
      <w:r w:rsidR="007D5B1C">
        <w:rPr>
          <w:szCs w:val="24"/>
        </w:rPr>
        <w:t xml:space="preserve"> </w:t>
      </w:r>
    </w:p>
    <w:p w14:paraId="16B52311" w14:textId="3E0F0244" w:rsidR="005B3946" w:rsidRDefault="005B3946" w:rsidP="0064427E">
      <w:pPr>
        <w:tabs>
          <w:tab w:val="left" w:pos="1440"/>
        </w:tabs>
        <w:ind w:left="851"/>
        <w:rPr>
          <w:szCs w:val="24"/>
        </w:rPr>
      </w:pPr>
    </w:p>
    <w:p w14:paraId="60D6C24B" w14:textId="648DF714" w:rsidR="005B3946" w:rsidRDefault="005B3946" w:rsidP="0064427E">
      <w:pPr>
        <w:tabs>
          <w:tab w:val="left" w:pos="1440"/>
        </w:tabs>
        <w:ind w:left="851"/>
      </w:pPr>
      <w:r>
        <w:t>Where a</w:t>
      </w:r>
      <w:r w:rsidR="00E40A91">
        <w:t>n</w:t>
      </w:r>
      <w:r>
        <w:t xml:space="preserve"> </w:t>
      </w:r>
      <w:r w:rsidR="00E40A91">
        <w:t xml:space="preserve">applicant </w:t>
      </w:r>
      <w:r>
        <w:t>is new to External Examining</w:t>
      </w:r>
      <w:r w:rsidR="006632CC">
        <w:t>,</w:t>
      </w:r>
      <w:r>
        <w:t xml:space="preserve"> a suitably experience</w:t>
      </w:r>
      <w:r w:rsidR="007611C2">
        <w:t>d</w:t>
      </w:r>
      <w:r>
        <w:t xml:space="preserve"> mentor will</w:t>
      </w:r>
      <w:r w:rsidR="009B3DED">
        <w:t xml:space="preserve"> </w:t>
      </w:r>
      <w:r>
        <w:t>be</w:t>
      </w:r>
      <w:r w:rsidR="007611C2">
        <w:t xml:space="preserve"> identified to work with the </w:t>
      </w:r>
      <w:r w:rsidR="00320418">
        <w:t xml:space="preserve">External </w:t>
      </w:r>
      <w:r w:rsidR="007611C2">
        <w:t>Examiner for the first year of their tenure</w:t>
      </w:r>
      <w:r w:rsidR="007D5B1C">
        <w:t xml:space="preserve">. </w:t>
      </w:r>
      <w:r w:rsidR="00BA453D">
        <w:t xml:space="preserve">Mentors will normally be </w:t>
      </w:r>
      <w:r w:rsidR="002824BF">
        <w:t>existing</w:t>
      </w:r>
      <w:r w:rsidR="00BA453D">
        <w:t xml:space="preserve"> </w:t>
      </w:r>
      <w:r w:rsidR="00C474E1">
        <w:t xml:space="preserve">experienced </w:t>
      </w:r>
      <w:r w:rsidR="00E40A91">
        <w:t xml:space="preserve">Teesside University </w:t>
      </w:r>
      <w:r w:rsidR="00BA453D">
        <w:t>External Examiners</w:t>
      </w:r>
      <w:r w:rsidR="007D5B1C">
        <w:t xml:space="preserve">. </w:t>
      </w:r>
      <w:r w:rsidR="00E942BF">
        <w:t>Further information is available in the External Examiner</w:t>
      </w:r>
      <w:r w:rsidR="00B4197E">
        <w:t xml:space="preserve"> Mentor </w:t>
      </w:r>
      <w:r w:rsidR="00124DA9">
        <w:t>Guidelines.</w:t>
      </w:r>
    </w:p>
    <w:p w14:paraId="21B4688A" w14:textId="77777777" w:rsidR="003A5627" w:rsidRPr="003A5627" w:rsidRDefault="003A5627" w:rsidP="0064427E">
      <w:pPr>
        <w:tabs>
          <w:tab w:val="left" w:pos="1440"/>
        </w:tabs>
        <w:ind w:left="851"/>
        <w:rPr>
          <w:szCs w:val="24"/>
        </w:rPr>
      </w:pPr>
    </w:p>
    <w:p w14:paraId="5351CCD2" w14:textId="78F2DE15" w:rsidR="00EA7BE3" w:rsidRDefault="007A56BB" w:rsidP="0064427E">
      <w:pPr>
        <w:tabs>
          <w:tab w:val="left" w:pos="1440"/>
        </w:tabs>
        <w:ind w:left="851"/>
        <w:rPr>
          <w:szCs w:val="24"/>
        </w:rPr>
      </w:pPr>
      <w:r w:rsidRPr="003A5627">
        <w:rPr>
          <w:szCs w:val="24"/>
        </w:rPr>
        <w:t xml:space="preserve">Employer </w:t>
      </w:r>
      <w:r w:rsidR="00EA7BE3" w:rsidRPr="003A5627">
        <w:rPr>
          <w:szCs w:val="24"/>
        </w:rPr>
        <w:t>Right to Work checks will be undertaken as part of the appointment process</w:t>
      </w:r>
      <w:r w:rsidR="00425FFA">
        <w:rPr>
          <w:szCs w:val="24"/>
        </w:rPr>
        <w:t xml:space="preserve"> and the University is unable to appoint Examiners who are not UK-based.</w:t>
      </w:r>
    </w:p>
    <w:p w14:paraId="3B5FFB35" w14:textId="77777777" w:rsidR="003A5627" w:rsidRPr="003A5627" w:rsidRDefault="003A5627" w:rsidP="0064427E">
      <w:pPr>
        <w:tabs>
          <w:tab w:val="left" w:pos="1440"/>
        </w:tabs>
        <w:ind w:left="851"/>
        <w:rPr>
          <w:szCs w:val="24"/>
        </w:rPr>
      </w:pPr>
    </w:p>
    <w:p w14:paraId="7EBE82BC" w14:textId="0C2DB74F" w:rsidR="00C274E7" w:rsidRDefault="00BA7818" w:rsidP="0064427E">
      <w:pPr>
        <w:tabs>
          <w:tab w:val="left" w:pos="1440"/>
        </w:tabs>
        <w:ind w:left="851"/>
        <w:rPr>
          <w:szCs w:val="24"/>
        </w:rPr>
      </w:pPr>
      <w:r w:rsidRPr="003A5627">
        <w:rPr>
          <w:szCs w:val="24"/>
        </w:rPr>
        <w:t>If a</w:t>
      </w:r>
      <w:r w:rsidR="005A1222">
        <w:rPr>
          <w:szCs w:val="24"/>
        </w:rPr>
        <w:t>n</w:t>
      </w:r>
      <w:r w:rsidR="004E22CB" w:rsidRPr="003A5627">
        <w:rPr>
          <w:szCs w:val="24"/>
        </w:rPr>
        <w:t xml:space="preserve"> </w:t>
      </w:r>
      <w:r w:rsidR="005A1222">
        <w:rPr>
          <w:szCs w:val="24"/>
        </w:rPr>
        <w:t>application</w:t>
      </w:r>
      <w:r w:rsidR="005A1222" w:rsidRPr="003A5627">
        <w:rPr>
          <w:szCs w:val="24"/>
        </w:rPr>
        <w:t xml:space="preserve"> </w:t>
      </w:r>
      <w:r w:rsidR="004E22CB" w:rsidRPr="003A5627">
        <w:rPr>
          <w:szCs w:val="24"/>
        </w:rPr>
        <w:t xml:space="preserve">is unsuccessful, the Course Leader </w:t>
      </w:r>
      <w:r w:rsidR="00B842B8">
        <w:rPr>
          <w:szCs w:val="24"/>
        </w:rPr>
        <w:t xml:space="preserve">or nominee </w:t>
      </w:r>
      <w:r w:rsidR="004E22CB" w:rsidRPr="003A5627">
        <w:rPr>
          <w:szCs w:val="24"/>
        </w:rPr>
        <w:t xml:space="preserve">will contact the </w:t>
      </w:r>
      <w:r w:rsidR="00FE17FC">
        <w:rPr>
          <w:szCs w:val="24"/>
        </w:rPr>
        <w:t xml:space="preserve">proposed </w:t>
      </w:r>
      <w:r w:rsidR="00B4304B">
        <w:rPr>
          <w:szCs w:val="24"/>
        </w:rPr>
        <w:t xml:space="preserve">External </w:t>
      </w:r>
      <w:r w:rsidR="004E22CB" w:rsidRPr="003A5627">
        <w:rPr>
          <w:szCs w:val="24"/>
        </w:rPr>
        <w:t>Examiner to provide a rationale.</w:t>
      </w:r>
    </w:p>
    <w:p w14:paraId="4F7803F6" w14:textId="77777777" w:rsidR="00C274E7" w:rsidRPr="003A5627" w:rsidRDefault="00C274E7" w:rsidP="0064427E">
      <w:pPr>
        <w:tabs>
          <w:tab w:val="left" w:pos="1440"/>
        </w:tabs>
        <w:ind w:left="851"/>
        <w:rPr>
          <w:szCs w:val="24"/>
        </w:rPr>
      </w:pPr>
    </w:p>
    <w:p w14:paraId="4A3CE74F" w14:textId="58250719" w:rsidR="00C274E7" w:rsidRDefault="00C274E7" w:rsidP="0064427E">
      <w:pPr>
        <w:tabs>
          <w:tab w:val="left" w:pos="1440"/>
        </w:tabs>
        <w:ind w:left="851"/>
      </w:pPr>
      <w:r>
        <w:t>School</w:t>
      </w:r>
      <w:r w:rsidR="00A64DE6">
        <w:t>s</w:t>
      </w:r>
      <w:r>
        <w:t xml:space="preserve"> will consider all </w:t>
      </w:r>
      <w:r w:rsidR="005A1222">
        <w:t>applica</w:t>
      </w:r>
      <w:r w:rsidR="00C9461B">
        <w:t>tions</w:t>
      </w:r>
      <w:r w:rsidR="005A1222">
        <w:t xml:space="preserve"> </w:t>
      </w:r>
      <w:r>
        <w:t>and make a recommendation to SLAR</w:t>
      </w:r>
      <w:r w:rsidR="007D5B1C">
        <w:t xml:space="preserve">. </w:t>
      </w:r>
      <w:r>
        <w:t xml:space="preserve">Institutional approval is granted after </w:t>
      </w:r>
      <w:r w:rsidR="00B879B8">
        <w:t xml:space="preserve">the Student Learning and </w:t>
      </w:r>
      <w:r w:rsidR="00DD36B3">
        <w:t xml:space="preserve">Experience Sub-Committee </w:t>
      </w:r>
      <w:r>
        <w:t>ha</w:t>
      </w:r>
      <w:r w:rsidR="00BD3FCF">
        <w:t>s</w:t>
      </w:r>
      <w:r>
        <w:t xml:space="preserve"> a</w:t>
      </w:r>
      <w:r w:rsidR="00DD36B3">
        <w:t>gre</w:t>
      </w:r>
      <w:r>
        <w:t>ed the appointment on behalf of the Academic Board.</w:t>
      </w:r>
    </w:p>
    <w:p w14:paraId="19ED55BB" w14:textId="24C5F824" w:rsidR="00C274E7" w:rsidRDefault="00C274E7" w:rsidP="0064427E">
      <w:pPr>
        <w:ind w:left="900" w:hanging="900"/>
        <w:rPr>
          <w:szCs w:val="24"/>
        </w:rPr>
      </w:pPr>
      <w:r>
        <w:rPr>
          <w:szCs w:val="24"/>
        </w:rPr>
        <w:lastRenderedPageBreak/>
        <w:tab/>
      </w:r>
      <w:r w:rsidR="00074923">
        <w:rPr>
          <w:szCs w:val="24"/>
        </w:rPr>
        <w:t>Following appointment</w:t>
      </w:r>
      <w:r w:rsidR="0067611B">
        <w:rPr>
          <w:szCs w:val="24"/>
        </w:rPr>
        <w:t>,</w:t>
      </w:r>
      <w:r w:rsidR="00074923">
        <w:rPr>
          <w:szCs w:val="24"/>
        </w:rPr>
        <w:t xml:space="preserve"> External Examiners will receive a contract letter</w:t>
      </w:r>
      <w:r w:rsidR="00AB0E43">
        <w:rPr>
          <w:szCs w:val="24"/>
        </w:rPr>
        <w:t xml:space="preserve"> from the University, specifying the courses and/or modules to which they have been assigned</w:t>
      </w:r>
      <w:r w:rsidR="00A30DBE">
        <w:rPr>
          <w:szCs w:val="24"/>
        </w:rPr>
        <w:t>, the period of tenure</w:t>
      </w:r>
      <w:r w:rsidR="00AB0E43">
        <w:rPr>
          <w:szCs w:val="24"/>
        </w:rPr>
        <w:t xml:space="preserve"> and details of the fee </w:t>
      </w:r>
      <w:r w:rsidR="00894DFB">
        <w:rPr>
          <w:szCs w:val="24"/>
        </w:rPr>
        <w:t xml:space="preserve">that will </w:t>
      </w:r>
      <w:r w:rsidR="00AB0E43">
        <w:rPr>
          <w:szCs w:val="24"/>
        </w:rPr>
        <w:t>be paid.</w:t>
      </w:r>
    </w:p>
    <w:p w14:paraId="00C8DDE9" w14:textId="77777777" w:rsidR="00C07289" w:rsidRDefault="00C07289" w:rsidP="00C274E7">
      <w:pPr>
        <w:ind w:left="851" w:hanging="851"/>
        <w:rPr>
          <w:szCs w:val="24"/>
        </w:rPr>
      </w:pPr>
    </w:p>
    <w:p w14:paraId="7B5E6F60" w14:textId="3D1F2AE0" w:rsidR="007F42F3" w:rsidRPr="0064427E" w:rsidRDefault="007F42F3" w:rsidP="0064427E">
      <w:pPr>
        <w:pStyle w:val="Heading2"/>
      </w:pPr>
      <w:bookmarkStart w:id="4" w:name="_Toc134519910"/>
      <w:r w:rsidRPr="0064427E">
        <w:t>2.</w:t>
      </w:r>
      <w:r w:rsidR="00064E0D" w:rsidRPr="0064427E">
        <w:t>2</w:t>
      </w:r>
      <w:r w:rsidRPr="0064427E">
        <w:tab/>
        <w:t>Change of Dut</w:t>
      </w:r>
      <w:r w:rsidR="008F1067" w:rsidRPr="0064427E">
        <w:t>y</w:t>
      </w:r>
      <w:r w:rsidRPr="0064427E">
        <w:t xml:space="preserve"> and Honorarium</w:t>
      </w:r>
      <w:r w:rsidR="00F31339" w:rsidRPr="0064427E">
        <w:t xml:space="preserve"> Scheme</w:t>
      </w:r>
      <w:bookmarkEnd w:id="4"/>
    </w:p>
    <w:p w14:paraId="78EE2C17" w14:textId="4E30FCA3" w:rsidR="007F42F3" w:rsidRDefault="007F42F3" w:rsidP="00002240">
      <w:pPr>
        <w:ind w:left="851" w:hanging="851"/>
        <w:rPr>
          <w:szCs w:val="24"/>
        </w:rPr>
      </w:pPr>
    </w:p>
    <w:p w14:paraId="4858CFFB" w14:textId="7201F10E" w:rsidR="00E67957" w:rsidRDefault="00E67957" w:rsidP="0064427E">
      <w:pPr>
        <w:ind w:left="900"/>
      </w:pPr>
      <w:r>
        <w:t xml:space="preserve">Where an existing </w:t>
      </w:r>
      <w:r w:rsidR="00320418">
        <w:t xml:space="preserve">External </w:t>
      </w:r>
      <w:r>
        <w:t>Examiner</w:t>
      </w:r>
      <w:r w:rsidR="00FA7327">
        <w:t xml:space="preserve"> has agreed to a</w:t>
      </w:r>
      <w:r>
        <w:t xml:space="preserve"> role change for more than one assessment period</w:t>
      </w:r>
      <w:r w:rsidR="00BC5CF7">
        <w:t>,</w:t>
      </w:r>
      <w:r>
        <w:t xml:space="preserve"> or for the remainder of their tenure, the Change of Dut</w:t>
      </w:r>
      <w:r w:rsidR="003045F4">
        <w:t>y</w:t>
      </w:r>
      <w:r>
        <w:t xml:space="preserve"> process will be adopted.</w:t>
      </w:r>
    </w:p>
    <w:p w14:paraId="4B8EA359" w14:textId="77777777" w:rsidR="00E67957" w:rsidRDefault="00E67957" w:rsidP="0064427E">
      <w:pPr>
        <w:ind w:left="900"/>
        <w:rPr>
          <w:szCs w:val="24"/>
        </w:rPr>
      </w:pPr>
    </w:p>
    <w:p w14:paraId="6745A08B" w14:textId="38D8AAB3" w:rsidR="006836D4" w:rsidRDefault="00E5342E" w:rsidP="0064427E">
      <w:pPr>
        <w:ind w:left="900"/>
        <w:rPr>
          <w:szCs w:val="24"/>
        </w:rPr>
      </w:pPr>
      <w:r>
        <w:rPr>
          <w:szCs w:val="24"/>
        </w:rPr>
        <w:t xml:space="preserve">Where an existing </w:t>
      </w:r>
      <w:r w:rsidR="00320418">
        <w:rPr>
          <w:szCs w:val="24"/>
        </w:rPr>
        <w:t xml:space="preserve">External </w:t>
      </w:r>
      <w:r>
        <w:rPr>
          <w:szCs w:val="24"/>
        </w:rPr>
        <w:t>Examiner</w:t>
      </w:r>
      <w:r w:rsidR="00275375">
        <w:rPr>
          <w:szCs w:val="24"/>
        </w:rPr>
        <w:t xml:space="preserve"> has agreed to a </w:t>
      </w:r>
      <w:r w:rsidR="00E67957">
        <w:rPr>
          <w:szCs w:val="24"/>
        </w:rPr>
        <w:t xml:space="preserve">temporary role </w:t>
      </w:r>
      <w:r>
        <w:rPr>
          <w:szCs w:val="24"/>
        </w:rPr>
        <w:t>change</w:t>
      </w:r>
      <w:r w:rsidR="00925CB8">
        <w:rPr>
          <w:szCs w:val="24"/>
        </w:rPr>
        <w:t>,</w:t>
      </w:r>
      <w:r>
        <w:rPr>
          <w:szCs w:val="24"/>
        </w:rPr>
        <w:t xml:space="preserve"> for a maximum of one assessment period</w:t>
      </w:r>
      <w:r w:rsidR="00925CB8">
        <w:rPr>
          <w:szCs w:val="24"/>
        </w:rPr>
        <w:t>,</w:t>
      </w:r>
      <w:r>
        <w:rPr>
          <w:szCs w:val="24"/>
        </w:rPr>
        <w:t xml:space="preserve"> the Honorarium Scheme </w:t>
      </w:r>
      <w:r w:rsidR="00CD2B7C">
        <w:rPr>
          <w:szCs w:val="24"/>
        </w:rPr>
        <w:t>will</w:t>
      </w:r>
      <w:r>
        <w:rPr>
          <w:szCs w:val="24"/>
        </w:rPr>
        <w:t xml:space="preserve"> be </w:t>
      </w:r>
      <w:r w:rsidR="006836D4">
        <w:rPr>
          <w:szCs w:val="24"/>
        </w:rPr>
        <w:t>adopted.</w:t>
      </w:r>
    </w:p>
    <w:p w14:paraId="3E912559" w14:textId="2DC92CED" w:rsidR="006D759A" w:rsidRDefault="006D759A" w:rsidP="0064427E">
      <w:pPr>
        <w:ind w:left="900"/>
        <w:rPr>
          <w:szCs w:val="24"/>
        </w:rPr>
      </w:pPr>
    </w:p>
    <w:p w14:paraId="19CD58E4" w14:textId="6B19541D" w:rsidR="006D759A" w:rsidRDefault="006D759A" w:rsidP="0064427E">
      <w:pPr>
        <w:ind w:left="900"/>
      </w:pPr>
      <w:r w:rsidRPr="6447A6AC">
        <w:t xml:space="preserve">A change to an </w:t>
      </w:r>
      <w:r w:rsidR="008F1067" w:rsidRPr="6447A6AC">
        <w:t xml:space="preserve">existing </w:t>
      </w:r>
      <w:r w:rsidR="00320418">
        <w:t xml:space="preserve">External </w:t>
      </w:r>
      <w:r w:rsidR="008F1067" w:rsidRPr="6447A6AC">
        <w:t>Examiner’s duty</w:t>
      </w:r>
      <w:r w:rsidRPr="6447A6AC">
        <w:t xml:space="preserve"> would not normally result in an extension of their tenure </w:t>
      </w:r>
      <w:r w:rsidR="008F1067" w:rsidRPr="6447A6AC">
        <w:t>period unless</w:t>
      </w:r>
      <w:r w:rsidR="000C12F3" w:rsidRPr="6447A6AC">
        <w:t xml:space="preserve"> this has been specifically requested</w:t>
      </w:r>
      <w:r w:rsidRPr="009310D5">
        <w:rPr>
          <w:szCs w:val="24"/>
        </w:rPr>
        <w:t>.</w:t>
      </w:r>
    </w:p>
    <w:p w14:paraId="2722110D" w14:textId="77777777" w:rsidR="007F42F3" w:rsidRDefault="007F42F3" w:rsidP="00002240">
      <w:pPr>
        <w:ind w:left="851" w:hanging="851"/>
        <w:rPr>
          <w:szCs w:val="24"/>
        </w:rPr>
      </w:pPr>
    </w:p>
    <w:p w14:paraId="7B177D36" w14:textId="75541FF7" w:rsidR="007F42F3" w:rsidRPr="0064427E" w:rsidRDefault="007F42F3" w:rsidP="0064427E">
      <w:pPr>
        <w:pStyle w:val="Heading2"/>
      </w:pPr>
      <w:bookmarkStart w:id="5" w:name="_Toc134519911"/>
      <w:r w:rsidRPr="0064427E">
        <w:t>2.</w:t>
      </w:r>
      <w:r w:rsidR="00064E0D" w:rsidRPr="0064427E">
        <w:t>3</w:t>
      </w:r>
      <w:r w:rsidRPr="0064427E">
        <w:tab/>
        <w:t>Te</w:t>
      </w:r>
      <w:r w:rsidR="0021321D" w:rsidRPr="0064427E">
        <w:t>rms of Office</w:t>
      </w:r>
      <w:bookmarkEnd w:id="5"/>
    </w:p>
    <w:p w14:paraId="6B7F26FE" w14:textId="2CC14CE8" w:rsidR="007F42F3" w:rsidRDefault="007F42F3" w:rsidP="00002240">
      <w:pPr>
        <w:ind w:left="851" w:hanging="851"/>
        <w:rPr>
          <w:szCs w:val="24"/>
        </w:rPr>
      </w:pPr>
    </w:p>
    <w:p w14:paraId="42EE7C59" w14:textId="2B72217E" w:rsidR="00E25F65" w:rsidRDefault="000156C9" w:rsidP="0064427E">
      <w:pPr>
        <w:pStyle w:val="ListParagraph"/>
        <w:ind w:left="900"/>
      </w:pPr>
      <w:r>
        <w:t>The duration of a</w:t>
      </w:r>
      <w:r w:rsidR="00AB0A72">
        <w:t xml:space="preserve"> Module/Award </w:t>
      </w:r>
      <w:r>
        <w:t xml:space="preserve">External Examiner's appointment will normally be five calendar years, with an exceptional extension </w:t>
      </w:r>
      <w:r w:rsidR="00A460F4">
        <w:t>available for up to</w:t>
      </w:r>
      <w:r>
        <w:t xml:space="preserve"> one calendar year to ensure continuity</w:t>
      </w:r>
      <w:r w:rsidR="007D5B1C">
        <w:t xml:space="preserve">. </w:t>
      </w:r>
    </w:p>
    <w:p w14:paraId="5B4A7532" w14:textId="527EF1CE" w:rsidR="00DC6A38" w:rsidRDefault="00DC6A38" w:rsidP="0064427E">
      <w:pPr>
        <w:ind w:left="900"/>
      </w:pPr>
    </w:p>
    <w:p w14:paraId="6B0F423A" w14:textId="0FD28C1D" w:rsidR="00DC6A38" w:rsidRPr="00856325" w:rsidRDefault="005C57C3" w:rsidP="0064427E">
      <w:pPr>
        <w:ind w:left="900" w:right="255"/>
      </w:pPr>
      <w:r w:rsidRPr="00856325">
        <w:t xml:space="preserve">When appointing a Professional Doctorate AIW </w:t>
      </w:r>
      <w:r w:rsidR="00856325" w:rsidRPr="00856325">
        <w:t xml:space="preserve">External </w:t>
      </w:r>
      <w:r w:rsidRPr="00856325">
        <w:t xml:space="preserve">Examiner to a </w:t>
      </w:r>
      <w:r w:rsidR="00856325" w:rsidRPr="00856325">
        <w:t>s</w:t>
      </w:r>
      <w:r w:rsidRPr="00856325">
        <w:t xml:space="preserve">ubject </w:t>
      </w:r>
      <w:r w:rsidR="00856325" w:rsidRPr="00856325">
        <w:t>a</w:t>
      </w:r>
      <w:r w:rsidRPr="00856325">
        <w:t>rea, the tenure will normally be for six calendar years</w:t>
      </w:r>
      <w:r w:rsidR="007D5B1C" w:rsidRPr="00856325">
        <w:t xml:space="preserve">. </w:t>
      </w:r>
      <w:r w:rsidRPr="00856325">
        <w:rPr>
          <w:rFonts w:cs="Arial"/>
          <w:color w:val="000000"/>
          <w:shd w:val="clear" w:color="auto" w:fill="FFFFFF"/>
        </w:rPr>
        <w:t xml:space="preserve">Examiners appointed to a </w:t>
      </w:r>
      <w:r w:rsidR="00856325" w:rsidRPr="00856325">
        <w:rPr>
          <w:rFonts w:cs="Arial"/>
          <w:color w:val="000000"/>
          <w:shd w:val="clear" w:color="auto" w:fill="FFFFFF"/>
        </w:rPr>
        <w:t>s</w:t>
      </w:r>
      <w:r w:rsidRPr="00856325">
        <w:rPr>
          <w:rFonts w:cs="Arial"/>
          <w:color w:val="000000"/>
          <w:shd w:val="clear" w:color="auto" w:fill="FFFFFF"/>
        </w:rPr>
        <w:t xml:space="preserve">ubject </w:t>
      </w:r>
      <w:r w:rsidR="00856325" w:rsidRPr="00856325">
        <w:rPr>
          <w:rFonts w:cs="Arial"/>
          <w:color w:val="000000"/>
          <w:shd w:val="clear" w:color="auto" w:fill="FFFFFF"/>
        </w:rPr>
        <w:t>a</w:t>
      </w:r>
      <w:r w:rsidRPr="00856325">
        <w:rPr>
          <w:rFonts w:cs="Arial"/>
          <w:color w:val="000000"/>
          <w:shd w:val="clear" w:color="auto" w:fill="FFFFFF"/>
        </w:rPr>
        <w:t xml:space="preserve">rea can be utilised as and when required during their tenure, up to a maximum of 6 times per </w:t>
      </w:r>
      <w:r w:rsidR="00856325">
        <w:rPr>
          <w:rFonts w:cs="Arial"/>
          <w:color w:val="000000"/>
          <w:shd w:val="clear" w:color="auto" w:fill="FFFFFF"/>
        </w:rPr>
        <w:t xml:space="preserve">calendar </w:t>
      </w:r>
      <w:r w:rsidRPr="00856325">
        <w:rPr>
          <w:rFonts w:cs="Arial"/>
          <w:color w:val="000000"/>
          <w:shd w:val="clear" w:color="auto" w:fill="FFFFFF"/>
        </w:rPr>
        <w:t>year</w:t>
      </w:r>
      <w:r w:rsidR="00AB67EF" w:rsidRPr="00856325">
        <w:rPr>
          <w:rFonts w:cs="Arial"/>
          <w:color w:val="000000"/>
          <w:shd w:val="clear" w:color="auto" w:fill="FFFFFF"/>
        </w:rPr>
        <w:t>.</w:t>
      </w:r>
      <w:r w:rsidR="00AB67EF" w:rsidRPr="00856325">
        <w:t xml:space="preserve"> </w:t>
      </w:r>
      <w:r w:rsidRPr="00856325">
        <w:t xml:space="preserve">When appointing an AIW </w:t>
      </w:r>
      <w:r w:rsidR="00856325" w:rsidRPr="00856325">
        <w:t xml:space="preserve">External </w:t>
      </w:r>
      <w:r w:rsidRPr="00856325">
        <w:t>Examiner to an individual student, appointments will normally be for a maximum of 30 months.</w:t>
      </w:r>
    </w:p>
    <w:p w14:paraId="76ED59C3" w14:textId="77777777" w:rsidR="000156C9" w:rsidRDefault="000156C9" w:rsidP="0064427E">
      <w:pPr>
        <w:ind w:left="900"/>
      </w:pPr>
    </w:p>
    <w:p w14:paraId="7401C060" w14:textId="6D9B02EF" w:rsidR="000156C9" w:rsidRDefault="000156C9" w:rsidP="0064427E">
      <w:pPr>
        <w:pStyle w:val="ListParagraph"/>
        <w:ind w:left="900"/>
      </w:pPr>
      <w:r>
        <w:t>External Examiners must remain available after the last assessments with which they are associated to deal with any subsequent reviews of decisions.</w:t>
      </w:r>
    </w:p>
    <w:p w14:paraId="6AEB3433" w14:textId="77777777" w:rsidR="00E25F65" w:rsidRDefault="00E25F65" w:rsidP="0064427E">
      <w:pPr>
        <w:ind w:left="900"/>
      </w:pPr>
    </w:p>
    <w:p w14:paraId="023E1106" w14:textId="55FAC0E0" w:rsidR="000156C9" w:rsidRDefault="000156C9" w:rsidP="0064427E">
      <w:pPr>
        <w:pStyle w:val="ListParagraph"/>
        <w:ind w:left="900"/>
      </w:pPr>
      <w:r>
        <w:t xml:space="preserve">If a course is withdrawn during an </w:t>
      </w:r>
      <w:r w:rsidR="00320418">
        <w:t xml:space="preserve">External </w:t>
      </w:r>
      <w:r>
        <w:t>Examiner</w:t>
      </w:r>
      <w:r w:rsidR="009D4B30">
        <w:t>’s</w:t>
      </w:r>
      <w:r>
        <w:t xml:space="preserve"> tenure,</w:t>
      </w:r>
      <w:r w:rsidR="001C642C">
        <w:t xml:space="preserve"> and they are </w:t>
      </w:r>
      <w:r w:rsidR="001C5FEA">
        <w:t>n</w:t>
      </w:r>
      <w:r w:rsidR="001C642C">
        <w:t>o longer</w:t>
      </w:r>
      <w:r w:rsidR="001C5FEA">
        <w:t xml:space="preserve"> required to examine, </w:t>
      </w:r>
      <w:r>
        <w:t xml:space="preserve">their contract </w:t>
      </w:r>
      <w:r w:rsidR="00F72995">
        <w:t xml:space="preserve">will normally </w:t>
      </w:r>
      <w:r>
        <w:t>be terminated early.</w:t>
      </w:r>
    </w:p>
    <w:p w14:paraId="3EB77B82" w14:textId="77777777" w:rsidR="000156C9" w:rsidRDefault="000156C9" w:rsidP="0064427E">
      <w:pPr>
        <w:ind w:left="900"/>
      </w:pPr>
    </w:p>
    <w:p w14:paraId="221FC742" w14:textId="58C785B1" w:rsidR="000156C9" w:rsidRDefault="000156C9" w:rsidP="0064427E">
      <w:pPr>
        <w:pStyle w:val="ListParagraph"/>
        <w:ind w:left="900"/>
      </w:pPr>
      <w:r>
        <w:t xml:space="preserve">The University may </w:t>
      </w:r>
      <w:r w:rsidR="00F72995">
        <w:t xml:space="preserve">seek to </w:t>
      </w:r>
      <w:r>
        <w:t xml:space="preserve">terminate an </w:t>
      </w:r>
      <w:r w:rsidR="00320418">
        <w:t xml:space="preserve">External </w:t>
      </w:r>
      <w:r>
        <w:t>Examiner</w:t>
      </w:r>
      <w:r w:rsidR="0087773D">
        <w:t>’</w:t>
      </w:r>
      <w:r>
        <w:t xml:space="preserve">s appointment </w:t>
      </w:r>
      <w:r w:rsidR="00DA11CD">
        <w:t>early</w:t>
      </w:r>
      <w:r>
        <w:t xml:space="preserve"> if they fail to appropriately fulfil their role.</w:t>
      </w:r>
    </w:p>
    <w:p w14:paraId="3851141F" w14:textId="77777777" w:rsidR="000156C9" w:rsidRDefault="000156C9" w:rsidP="0064427E">
      <w:pPr>
        <w:ind w:left="900"/>
      </w:pPr>
    </w:p>
    <w:p w14:paraId="382BEBAC" w14:textId="7B89F4A4" w:rsidR="000156C9" w:rsidRDefault="000156C9" w:rsidP="0064427E">
      <w:pPr>
        <w:pStyle w:val="ListParagraph"/>
        <w:ind w:left="900"/>
      </w:pPr>
      <w:r>
        <w:t xml:space="preserve">If an </w:t>
      </w:r>
      <w:r w:rsidR="00320418">
        <w:t xml:space="preserve">External </w:t>
      </w:r>
      <w:r>
        <w:t>Examiner wishes to resign from their role, they should do so in writing</w:t>
      </w:r>
      <w:r w:rsidR="002B697A">
        <w:t>,</w:t>
      </w:r>
      <w:r>
        <w:t xml:space="preserve"> giving a </w:t>
      </w:r>
      <w:r w:rsidR="00BD534C">
        <w:t>12-week</w:t>
      </w:r>
      <w:r>
        <w:t xml:space="preserve"> notice period.</w:t>
      </w:r>
    </w:p>
    <w:p w14:paraId="2864EF5F" w14:textId="543840D4" w:rsidR="00175551" w:rsidRDefault="00175551" w:rsidP="009D4B30">
      <w:pPr>
        <w:rPr>
          <w:szCs w:val="24"/>
        </w:rPr>
      </w:pPr>
    </w:p>
    <w:p w14:paraId="0D1BDD6F" w14:textId="77777777" w:rsidR="007F42F3" w:rsidRDefault="007F42F3" w:rsidP="00002240">
      <w:pPr>
        <w:ind w:left="851" w:hanging="851"/>
        <w:rPr>
          <w:szCs w:val="24"/>
        </w:rPr>
      </w:pPr>
    </w:p>
    <w:p w14:paraId="77A304F5" w14:textId="063DC5D1" w:rsidR="00BE6218" w:rsidRPr="0064427E" w:rsidRDefault="00175551" w:rsidP="0064427E">
      <w:pPr>
        <w:pStyle w:val="Heading1"/>
      </w:pPr>
      <w:bookmarkStart w:id="6" w:name="_Toc134519912"/>
      <w:r w:rsidRPr="0064427E">
        <w:t>3.</w:t>
      </w:r>
      <w:r w:rsidRPr="0064427E">
        <w:tab/>
      </w:r>
      <w:r w:rsidR="00895077" w:rsidRPr="0064427E">
        <w:t>Induction</w:t>
      </w:r>
      <w:bookmarkEnd w:id="6"/>
    </w:p>
    <w:p w14:paraId="4F4E7469" w14:textId="77777777" w:rsidR="00DE4AD0" w:rsidRDefault="00DE4AD0" w:rsidP="00CE1535">
      <w:pPr>
        <w:rPr>
          <w:szCs w:val="24"/>
        </w:rPr>
      </w:pPr>
    </w:p>
    <w:p w14:paraId="44AA2A69" w14:textId="48A9514E" w:rsidR="00C83A19" w:rsidRDefault="00A35BAC" w:rsidP="0064427E">
      <w:pPr>
        <w:ind w:left="900" w:hanging="900"/>
        <w:rPr>
          <w:szCs w:val="24"/>
        </w:rPr>
      </w:pPr>
      <w:r>
        <w:rPr>
          <w:szCs w:val="24"/>
        </w:rPr>
        <w:tab/>
      </w:r>
      <w:r w:rsidR="00C83A19">
        <w:rPr>
          <w:szCs w:val="24"/>
        </w:rPr>
        <w:t>Following appointment</w:t>
      </w:r>
      <w:r w:rsidR="005C4435">
        <w:rPr>
          <w:szCs w:val="24"/>
        </w:rPr>
        <w:t xml:space="preserve">, </w:t>
      </w:r>
      <w:r w:rsidR="00C83A19">
        <w:rPr>
          <w:szCs w:val="24"/>
        </w:rPr>
        <w:t>Professional Doctorate AIW Examiners will be inducted by the Course Leader.</w:t>
      </w:r>
    </w:p>
    <w:p w14:paraId="1CAD5D77" w14:textId="77777777" w:rsidR="00C83A19" w:rsidRDefault="00C83A19" w:rsidP="00002240">
      <w:pPr>
        <w:ind w:left="851" w:hanging="851"/>
        <w:rPr>
          <w:szCs w:val="24"/>
        </w:rPr>
      </w:pPr>
    </w:p>
    <w:p w14:paraId="035890DC" w14:textId="316B3EB6" w:rsidR="00175551" w:rsidRDefault="005B396B" w:rsidP="0064427E">
      <w:pPr>
        <w:ind w:left="900"/>
        <w:rPr>
          <w:szCs w:val="24"/>
        </w:rPr>
      </w:pPr>
      <w:r>
        <w:rPr>
          <w:szCs w:val="24"/>
        </w:rPr>
        <w:lastRenderedPageBreak/>
        <w:t>Following</w:t>
      </w:r>
      <w:r w:rsidR="00A35BAC">
        <w:rPr>
          <w:szCs w:val="24"/>
        </w:rPr>
        <w:t xml:space="preserve"> appointment</w:t>
      </w:r>
      <w:r w:rsidR="00AC35C8">
        <w:rPr>
          <w:szCs w:val="24"/>
        </w:rPr>
        <w:t>,</w:t>
      </w:r>
      <w:r>
        <w:rPr>
          <w:szCs w:val="24"/>
        </w:rPr>
        <w:t xml:space="preserve"> </w:t>
      </w:r>
      <w:r w:rsidR="007C4B1E">
        <w:rPr>
          <w:szCs w:val="24"/>
        </w:rPr>
        <w:t xml:space="preserve">all </w:t>
      </w:r>
      <w:r w:rsidR="004819C5">
        <w:rPr>
          <w:szCs w:val="24"/>
        </w:rPr>
        <w:t xml:space="preserve">new </w:t>
      </w:r>
      <w:r w:rsidR="00AB0A72">
        <w:rPr>
          <w:szCs w:val="24"/>
        </w:rPr>
        <w:t xml:space="preserve">Module/Award </w:t>
      </w:r>
      <w:r w:rsidR="007C4B1E">
        <w:rPr>
          <w:szCs w:val="24"/>
        </w:rPr>
        <w:t>External Examiners will be offered</w:t>
      </w:r>
      <w:r w:rsidR="00EF4E13">
        <w:rPr>
          <w:szCs w:val="24"/>
        </w:rPr>
        <w:t xml:space="preserve"> the opportunity to attend Central and School-based induction event</w:t>
      </w:r>
      <w:r w:rsidR="00E02AE9">
        <w:rPr>
          <w:szCs w:val="24"/>
        </w:rPr>
        <w:t>s</w:t>
      </w:r>
      <w:r w:rsidR="000B36D5">
        <w:rPr>
          <w:szCs w:val="24"/>
        </w:rPr>
        <w:t>, and where appropriate</w:t>
      </w:r>
      <w:r w:rsidR="00245D58">
        <w:rPr>
          <w:szCs w:val="24"/>
        </w:rPr>
        <w:t>,</w:t>
      </w:r>
      <w:r w:rsidR="000B36D5">
        <w:rPr>
          <w:szCs w:val="24"/>
        </w:rPr>
        <w:t xml:space="preserve"> an Apprenticeship induction</w:t>
      </w:r>
      <w:r w:rsidR="00245D58">
        <w:rPr>
          <w:szCs w:val="24"/>
        </w:rPr>
        <w:t>.</w:t>
      </w:r>
    </w:p>
    <w:p w14:paraId="79E5DB30" w14:textId="0216C883" w:rsidR="00EF4E13" w:rsidRDefault="00EF4E13" w:rsidP="00002240">
      <w:pPr>
        <w:ind w:left="851" w:hanging="851"/>
        <w:rPr>
          <w:szCs w:val="24"/>
        </w:rPr>
      </w:pPr>
    </w:p>
    <w:p w14:paraId="3F16F7AC" w14:textId="5308AA88" w:rsidR="00EF4E13" w:rsidRPr="0067014F" w:rsidRDefault="00EF4E13" w:rsidP="0064427E">
      <w:pPr>
        <w:ind w:left="900" w:hanging="900"/>
        <w:rPr>
          <w:szCs w:val="24"/>
        </w:rPr>
      </w:pPr>
      <w:r>
        <w:rPr>
          <w:szCs w:val="24"/>
        </w:rPr>
        <w:tab/>
      </w:r>
      <w:r w:rsidR="00E02AE9">
        <w:rPr>
          <w:szCs w:val="24"/>
        </w:rPr>
        <w:t>Central i</w:t>
      </w:r>
      <w:r w:rsidR="00402F8F">
        <w:rPr>
          <w:szCs w:val="24"/>
        </w:rPr>
        <w:t xml:space="preserve">nduction </w:t>
      </w:r>
      <w:r w:rsidR="000F7BC4">
        <w:rPr>
          <w:szCs w:val="24"/>
        </w:rPr>
        <w:t>events are offer</w:t>
      </w:r>
      <w:r w:rsidR="00D82191">
        <w:rPr>
          <w:szCs w:val="24"/>
        </w:rPr>
        <w:t>ed</w:t>
      </w:r>
      <w:r w:rsidR="000F7BC4">
        <w:rPr>
          <w:szCs w:val="24"/>
        </w:rPr>
        <w:t xml:space="preserve"> multiple times throughout the academic year and </w:t>
      </w:r>
      <w:r w:rsidR="00402F8F">
        <w:rPr>
          <w:szCs w:val="24"/>
        </w:rPr>
        <w:t xml:space="preserve">cover a range of topics including </w:t>
      </w:r>
      <w:r w:rsidR="005C4E52">
        <w:rPr>
          <w:szCs w:val="24"/>
        </w:rPr>
        <w:t>the University’s Assessment Regulations</w:t>
      </w:r>
      <w:r w:rsidR="00666720">
        <w:rPr>
          <w:szCs w:val="24"/>
        </w:rPr>
        <w:t xml:space="preserve">, </w:t>
      </w:r>
      <w:r w:rsidR="000B36D5">
        <w:rPr>
          <w:szCs w:val="24"/>
        </w:rPr>
        <w:t xml:space="preserve">Assessment </w:t>
      </w:r>
      <w:r w:rsidR="007C5DE4">
        <w:rPr>
          <w:szCs w:val="24"/>
        </w:rPr>
        <w:t>Boards,</w:t>
      </w:r>
      <w:r w:rsidR="000B36D5">
        <w:rPr>
          <w:szCs w:val="24"/>
        </w:rPr>
        <w:t xml:space="preserve"> and </w:t>
      </w:r>
      <w:r w:rsidR="00BC5CF7">
        <w:rPr>
          <w:szCs w:val="24"/>
        </w:rPr>
        <w:t xml:space="preserve">the </w:t>
      </w:r>
      <w:r w:rsidR="00402F8F">
        <w:rPr>
          <w:szCs w:val="24"/>
        </w:rPr>
        <w:t xml:space="preserve">Assessment &amp; Feedback </w:t>
      </w:r>
      <w:r w:rsidR="007C5DE4">
        <w:rPr>
          <w:szCs w:val="24"/>
        </w:rPr>
        <w:t>Policy. Induction</w:t>
      </w:r>
      <w:r w:rsidR="00851566">
        <w:rPr>
          <w:szCs w:val="24"/>
        </w:rPr>
        <w:t xml:space="preserve"> materials are available from the </w:t>
      </w:r>
      <w:hyperlink r:id="rId18" w:history="1">
        <w:r w:rsidR="007E3EEE">
          <w:rPr>
            <w:rStyle w:val="Hyperlink"/>
            <w:b/>
            <w:bCs/>
            <w:color w:val="0070C0"/>
            <w:szCs w:val="24"/>
          </w:rPr>
          <w:t>External Examiner Website</w:t>
        </w:r>
      </w:hyperlink>
      <w:r w:rsidR="004867B9" w:rsidRPr="0067014F">
        <w:rPr>
          <w:szCs w:val="24"/>
        </w:rPr>
        <w:t>.</w:t>
      </w:r>
    </w:p>
    <w:p w14:paraId="559EB9FF" w14:textId="45525F2D" w:rsidR="003A67F6" w:rsidRPr="00E508BE" w:rsidRDefault="003A67F6" w:rsidP="0064427E">
      <w:pPr>
        <w:ind w:left="900" w:hanging="900"/>
        <w:rPr>
          <w:szCs w:val="24"/>
        </w:rPr>
      </w:pPr>
    </w:p>
    <w:p w14:paraId="041A1EA3" w14:textId="0BEA74F0" w:rsidR="003A67F6" w:rsidRDefault="003A67F6" w:rsidP="0064427E">
      <w:pPr>
        <w:ind w:left="900" w:hanging="900"/>
        <w:rPr>
          <w:szCs w:val="24"/>
        </w:rPr>
      </w:pPr>
      <w:r w:rsidRPr="00E508BE">
        <w:rPr>
          <w:szCs w:val="24"/>
        </w:rPr>
        <w:tab/>
      </w:r>
      <w:r w:rsidR="003B1A5C" w:rsidRPr="00E508BE">
        <w:rPr>
          <w:szCs w:val="24"/>
        </w:rPr>
        <w:t>School</w:t>
      </w:r>
      <w:r w:rsidR="00E508BE" w:rsidRPr="00E508BE">
        <w:rPr>
          <w:szCs w:val="24"/>
        </w:rPr>
        <w:t>s</w:t>
      </w:r>
      <w:r w:rsidR="003B1A5C" w:rsidRPr="00E508BE">
        <w:rPr>
          <w:szCs w:val="24"/>
        </w:rPr>
        <w:t xml:space="preserve"> will host</w:t>
      </w:r>
      <w:r w:rsidR="00E508BE" w:rsidRPr="00E508BE">
        <w:rPr>
          <w:szCs w:val="24"/>
        </w:rPr>
        <w:t xml:space="preserve"> a separate</w:t>
      </w:r>
      <w:r w:rsidR="002B697A">
        <w:rPr>
          <w:szCs w:val="24"/>
        </w:rPr>
        <w:t xml:space="preserve"> supplementary</w:t>
      </w:r>
      <w:r w:rsidR="00E508BE" w:rsidRPr="00E508BE">
        <w:rPr>
          <w:szCs w:val="24"/>
        </w:rPr>
        <w:t xml:space="preserve"> induction </w:t>
      </w:r>
      <w:r w:rsidR="00E37565">
        <w:rPr>
          <w:szCs w:val="24"/>
        </w:rPr>
        <w:t>event</w:t>
      </w:r>
      <w:r w:rsidR="007D5B1C">
        <w:rPr>
          <w:szCs w:val="24"/>
        </w:rPr>
        <w:t xml:space="preserve">. </w:t>
      </w:r>
      <w:r w:rsidR="00EF613A">
        <w:rPr>
          <w:szCs w:val="24"/>
        </w:rPr>
        <w:t>It</w:t>
      </w:r>
      <w:r w:rsidR="00E508BE">
        <w:rPr>
          <w:szCs w:val="24"/>
        </w:rPr>
        <w:t xml:space="preserve"> </w:t>
      </w:r>
      <w:r w:rsidR="00711A0E">
        <w:rPr>
          <w:szCs w:val="24"/>
        </w:rPr>
        <w:t>will</w:t>
      </w:r>
      <w:r w:rsidR="005C58ED">
        <w:rPr>
          <w:szCs w:val="24"/>
        </w:rPr>
        <w:t xml:space="preserve"> provide</w:t>
      </w:r>
      <w:r w:rsidR="004C691A">
        <w:rPr>
          <w:szCs w:val="24"/>
        </w:rPr>
        <w:t xml:space="preserve"> </w:t>
      </w:r>
      <w:r w:rsidR="005C58ED">
        <w:rPr>
          <w:szCs w:val="24"/>
        </w:rPr>
        <w:t>an opportunity to meet the Course Team</w:t>
      </w:r>
      <w:r w:rsidR="00AD181B">
        <w:rPr>
          <w:szCs w:val="24"/>
        </w:rPr>
        <w:t>,</w:t>
      </w:r>
      <w:r w:rsidR="00EA3B14">
        <w:rPr>
          <w:szCs w:val="24"/>
        </w:rPr>
        <w:t xml:space="preserve"> </w:t>
      </w:r>
      <w:r w:rsidR="00EF613A">
        <w:rPr>
          <w:szCs w:val="24"/>
        </w:rPr>
        <w:t>who will</w:t>
      </w:r>
      <w:r w:rsidR="008114AF" w:rsidRPr="0060097D">
        <w:rPr>
          <w:szCs w:val="24"/>
        </w:rPr>
        <w:t xml:space="preserve"> </w:t>
      </w:r>
      <w:r w:rsidR="00981590" w:rsidRPr="0060097D">
        <w:rPr>
          <w:szCs w:val="24"/>
        </w:rPr>
        <w:t>give</w:t>
      </w:r>
      <w:r w:rsidR="004868F8" w:rsidRPr="0060097D">
        <w:rPr>
          <w:szCs w:val="24"/>
        </w:rPr>
        <w:t xml:space="preserve"> an overview of the School</w:t>
      </w:r>
      <w:r w:rsidR="006A6991" w:rsidRPr="0060097D">
        <w:rPr>
          <w:szCs w:val="24"/>
        </w:rPr>
        <w:t xml:space="preserve"> and subject areas, </w:t>
      </w:r>
      <w:r w:rsidR="007739C5" w:rsidRPr="0060097D">
        <w:rPr>
          <w:szCs w:val="24"/>
        </w:rPr>
        <w:t xml:space="preserve">discuss the </w:t>
      </w:r>
      <w:r w:rsidR="007C5DE4" w:rsidRPr="0060097D">
        <w:rPr>
          <w:szCs w:val="24"/>
        </w:rPr>
        <w:t>curriculum,</w:t>
      </w:r>
      <w:r w:rsidR="005C58ED" w:rsidRPr="0060097D">
        <w:rPr>
          <w:szCs w:val="24"/>
        </w:rPr>
        <w:t xml:space="preserve"> and</w:t>
      </w:r>
      <w:r w:rsidR="007739C5" w:rsidRPr="0060097D">
        <w:rPr>
          <w:szCs w:val="24"/>
        </w:rPr>
        <w:t xml:space="preserve"> provide</w:t>
      </w:r>
      <w:r w:rsidR="00711A0E" w:rsidRPr="0060097D">
        <w:rPr>
          <w:szCs w:val="24"/>
        </w:rPr>
        <w:t xml:space="preserve"> </w:t>
      </w:r>
      <w:r w:rsidR="004C691A" w:rsidRPr="0060097D">
        <w:rPr>
          <w:szCs w:val="24"/>
        </w:rPr>
        <w:t>information regarding</w:t>
      </w:r>
      <w:r w:rsidR="00902336" w:rsidRPr="0060097D">
        <w:rPr>
          <w:szCs w:val="24"/>
        </w:rPr>
        <w:t xml:space="preserve"> </w:t>
      </w:r>
      <w:r w:rsidR="00FE2A1A" w:rsidRPr="0060097D">
        <w:rPr>
          <w:szCs w:val="24"/>
        </w:rPr>
        <w:t>the practical arrangement</w:t>
      </w:r>
      <w:r w:rsidR="00A85C94" w:rsidRPr="0060097D">
        <w:rPr>
          <w:szCs w:val="24"/>
        </w:rPr>
        <w:t>s</w:t>
      </w:r>
      <w:r w:rsidR="00FE2A1A" w:rsidRPr="0060097D">
        <w:rPr>
          <w:szCs w:val="24"/>
        </w:rPr>
        <w:t xml:space="preserve"> </w:t>
      </w:r>
      <w:r w:rsidR="00902336" w:rsidRPr="0060097D">
        <w:rPr>
          <w:szCs w:val="24"/>
        </w:rPr>
        <w:t>link</w:t>
      </w:r>
      <w:r w:rsidR="005D0AAA" w:rsidRPr="0060097D">
        <w:rPr>
          <w:szCs w:val="24"/>
        </w:rPr>
        <w:t>ed</w:t>
      </w:r>
      <w:r w:rsidR="00902336" w:rsidRPr="0060097D">
        <w:rPr>
          <w:szCs w:val="24"/>
        </w:rPr>
        <w:t xml:space="preserve"> to the role, for example, </w:t>
      </w:r>
      <w:r w:rsidR="00A85C94" w:rsidRPr="0060097D">
        <w:rPr>
          <w:szCs w:val="24"/>
        </w:rPr>
        <w:t xml:space="preserve">attendance at Assessment </w:t>
      </w:r>
      <w:r w:rsidR="00A85C94" w:rsidRPr="003F3CDF">
        <w:rPr>
          <w:szCs w:val="24"/>
        </w:rPr>
        <w:t>Boards</w:t>
      </w:r>
      <w:r w:rsidR="00094430">
        <w:rPr>
          <w:szCs w:val="24"/>
        </w:rPr>
        <w:t xml:space="preserve"> a</w:t>
      </w:r>
      <w:r w:rsidR="008B1109">
        <w:rPr>
          <w:szCs w:val="24"/>
        </w:rPr>
        <w:t xml:space="preserve">nd a demonstration of the </w:t>
      </w:r>
      <w:r w:rsidR="00EF613A">
        <w:rPr>
          <w:szCs w:val="24"/>
        </w:rPr>
        <w:t>Virtual Learning Environment (</w:t>
      </w:r>
      <w:r w:rsidR="008B1109">
        <w:rPr>
          <w:szCs w:val="24"/>
        </w:rPr>
        <w:t>VLE</w:t>
      </w:r>
      <w:r w:rsidR="00EF613A">
        <w:rPr>
          <w:szCs w:val="24"/>
        </w:rPr>
        <w:t>)</w:t>
      </w:r>
      <w:r w:rsidR="008B1109">
        <w:rPr>
          <w:szCs w:val="24"/>
        </w:rPr>
        <w:t>.</w:t>
      </w:r>
    </w:p>
    <w:p w14:paraId="2716EFDF" w14:textId="35FD06EB" w:rsidR="00457400" w:rsidRDefault="00457400" w:rsidP="00063D32">
      <w:pPr>
        <w:rPr>
          <w:szCs w:val="24"/>
        </w:rPr>
      </w:pPr>
    </w:p>
    <w:p w14:paraId="51AE5D9F" w14:textId="2AD86DB8" w:rsidR="00880C5E" w:rsidRDefault="00961E39" w:rsidP="0064427E">
      <w:pPr>
        <w:ind w:left="900"/>
      </w:pPr>
      <w:r>
        <w:t>Following appointment</w:t>
      </w:r>
      <w:r w:rsidR="008909AA">
        <w:t xml:space="preserve">, </w:t>
      </w:r>
      <w:r w:rsidR="00FF4ACA">
        <w:t>t</w:t>
      </w:r>
      <w:r w:rsidR="00E3708B">
        <w:t xml:space="preserve">he University will </w:t>
      </w:r>
      <w:r w:rsidR="004A0DB9">
        <w:t>provide access to the following documentation for all</w:t>
      </w:r>
      <w:r w:rsidR="00E3708B">
        <w:t xml:space="preserve"> newly appointed </w:t>
      </w:r>
      <w:r w:rsidR="00870853">
        <w:t xml:space="preserve">External </w:t>
      </w:r>
      <w:r w:rsidR="00E3708B">
        <w:t>Examiners:</w:t>
      </w:r>
    </w:p>
    <w:p w14:paraId="4BF5F87F" w14:textId="77777777" w:rsidR="007D7119" w:rsidRDefault="007D7119" w:rsidP="0064427E">
      <w:pPr>
        <w:ind w:left="900"/>
      </w:pPr>
    </w:p>
    <w:p w14:paraId="69BF01D4" w14:textId="6F09BD82" w:rsidR="002B697A" w:rsidRDefault="002B697A" w:rsidP="002B697A">
      <w:pPr>
        <w:pStyle w:val="ListParagraph"/>
        <w:numPr>
          <w:ilvl w:val="0"/>
          <w:numId w:val="15"/>
        </w:numPr>
        <w:rPr>
          <w:szCs w:val="24"/>
        </w:rPr>
      </w:pPr>
      <w:r>
        <w:rPr>
          <w:szCs w:val="24"/>
        </w:rPr>
        <w:t>A link to the University’s External Examiners online resources which include</w:t>
      </w:r>
      <w:r w:rsidR="001E5E4D">
        <w:rPr>
          <w:szCs w:val="24"/>
        </w:rPr>
        <w:t>:</w:t>
      </w:r>
    </w:p>
    <w:p w14:paraId="00572010" w14:textId="732BB55C" w:rsidR="00E3708B" w:rsidRDefault="00D17C15" w:rsidP="001E5E4D">
      <w:pPr>
        <w:pStyle w:val="ListParagraph"/>
        <w:numPr>
          <w:ilvl w:val="1"/>
          <w:numId w:val="15"/>
        </w:numPr>
        <w:rPr>
          <w:szCs w:val="24"/>
        </w:rPr>
      </w:pPr>
      <w:r>
        <w:rPr>
          <w:szCs w:val="24"/>
        </w:rPr>
        <w:t>D2</w:t>
      </w:r>
      <w:r w:rsidR="00D36E89">
        <w:rPr>
          <w:szCs w:val="24"/>
        </w:rPr>
        <w:t xml:space="preserve"> </w:t>
      </w:r>
      <w:r>
        <w:rPr>
          <w:szCs w:val="24"/>
        </w:rPr>
        <w:t>External Examining (Taught Provision)</w:t>
      </w:r>
      <w:r w:rsidR="00D36E89">
        <w:rPr>
          <w:szCs w:val="24"/>
        </w:rPr>
        <w:t>.</w:t>
      </w:r>
    </w:p>
    <w:p w14:paraId="438A7A07" w14:textId="622FAA81" w:rsidR="00D17C15" w:rsidRDefault="003E2E9C" w:rsidP="001E5E4D">
      <w:pPr>
        <w:pStyle w:val="ListParagraph"/>
        <w:numPr>
          <w:ilvl w:val="1"/>
          <w:numId w:val="15"/>
        </w:numPr>
        <w:rPr>
          <w:szCs w:val="24"/>
        </w:rPr>
      </w:pPr>
      <w:r w:rsidRPr="001E5E4D">
        <w:rPr>
          <w:szCs w:val="24"/>
        </w:rPr>
        <w:t xml:space="preserve">The </w:t>
      </w:r>
      <w:r w:rsidR="004A0DB9" w:rsidRPr="001E5E4D">
        <w:rPr>
          <w:szCs w:val="24"/>
        </w:rPr>
        <w:t xml:space="preserve">relevant </w:t>
      </w:r>
      <w:r w:rsidR="00D36E89" w:rsidRPr="001E5E4D">
        <w:rPr>
          <w:szCs w:val="24"/>
        </w:rPr>
        <w:t>External Examiners Handbook.</w:t>
      </w:r>
    </w:p>
    <w:p w14:paraId="365A53AC" w14:textId="10FD40B5" w:rsidR="00D36E89" w:rsidRDefault="004A0DB9" w:rsidP="001E5E4D">
      <w:pPr>
        <w:pStyle w:val="ListParagraph"/>
        <w:numPr>
          <w:ilvl w:val="1"/>
          <w:numId w:val="15"/>
        </w:numPr>
      </w:pPr>
      <w:r>
        <w:t>R</w:t>
      </w:r>
      <w:r w:rsidR="003E2E9C">
        <w:t>elevant University regulations and policies</w:t>
      </w:r>
      <w:r w:rsidR="002B77F1">
        <w:t xml:space="preserve">, including those related to apprenticeship provision, where </w:t>
      </w:r>
      <w:r w:rsidR="00470F09">
        <w:t>appropriate</w:t>
      </w:r>
      <w:r w:rsidR="00092CFD">
        <w:t>.</w:t>
      </w:r>
    </w:p>
    <w:p w14:paraId="04EC1072" w14:textId="1A7F2C3B" w:rsidR="00B5138B" w:rsidRDefault="00B5138B" w:rsidP="001E5E4D">
      <w:pPr>
        <w:pStyle w:val="ListParagraph"/>
        <w:numPr>
          <w:ilvl w:val="1"/>
          <w:numId w:val="15"/>
        </w:numPr>
      </w:pPr>
      <w:r>
        <w:t>Guidance on claiming fees and expenses</w:t>
      </w:r>
      <w:r w:rsidR="00092CFD">
        <w:t>.</w:t>
      </w:r>
    </w:p>
    <w:p w14:paraId="01B2238D" w14:textId="4FD41A88" w:rsidR="00B5138B" w:rsidRPr="001E5E4D" w:rsidRDefault="001E5E4D" w:rsidP="00CF126B">
      <w:pPr>
        <w:pStyle w:val="ListParagraph"/>
        <w:numPr>
          <w:ilvl w:val="1"/>
          <w:numId w:val="15"/>
        </w:numPr>
        <w:rPr>
          <w:szCs w:val="24"/>
        </w:rPr>
      </w:pPr>
      <w:r>
        <w:rPr>
          <w:szCs w:val="24"/>
        </w:rPr>
        <w:t>T</w:t>
      </w:r>
      <w:r w:rsidR="00B5138B" w:rsidRPr="001E5E4D">
        <w:rPr>
          <w:szCs w:val="24"/>
        </w:rPr>
        <w:t xml:space="preserve">he </w:t>
      </w:r>
      <w:r w:rsidR="00F77064" w:rsidRPr="001E5E4D">
        <w:rPr>
          <w:szCs w:val="24"/>
        </w:rPr>
        <w:t>UK Quality Code for Higher Education</w:t>
      </w:r>
      <w:r w:rsidR="00CA1B16" w:rsidRPr="001E5E4D">
        <w:rPr>
          <w:szCs w:val="24"/>
        </w:rPr>
        <w:t xml:space="preserve"> and key reference points.</w:t>
      </w:r>
    </w:p>
    <w:p w14:paraId="7DD5D757" w14:textId="6C0E81C2" w:rsidR="001E5E4D" w:rsidRPr="006B78E7" w:rsidRDefault="001E5E4D" w:rsidP="006B78E7">
      <w:pPr>
        <w:pStyle w:val="ListParagraph"/>
        <w:numPr>
          <w:ilvl w:val="0"/>
          <w:numId w:val="15"/>
        </w:numPr>
        <w:rPr>
          <w:szCs w:val="24"/>
        </w:rPr>
      </w:pPr>
      <w:r>
        <w:rPr>
          <w:szCs w:val="24"/>
        </w:rPr>
        <w:t>A copy of the previous External Examiner’s report</w:t>
      </w:r>
      <w:r w:rsidR="00A80EF4">
        <w:rPr>
          <w:szCs w:val="24"/>
        </w:rPr>
        <w:t xml:space="preserve"> and School’s response</w:t>
      </w:r>
      <w:r>
        <w:rPr>
          <w:szCs w:val="24"/>
        </w:rPr>
        <w:t>, where available.</w:t>
      </w:r>
    </w:p>
    <w:p w14:paraId="25325378" w14:textId="39905A46" w:rsidR="00E3708B" w:rsidRDefault="00E3708B" w:rsidP="00E50C9D">
      <w:pPr>
        <w:rPr>
          <w:szCs w:val="24"/>
        </w:rPr>
      </w:pPr>
    </w:p>
    <w:p w14:paraId="64D4B01B" w14:textId="4498C34C" w:rsidR="00500B47" w:rsidRDefault="00957D57" w:rsidP="007D7119">
      <w:pPr>
        <w:ind w:left="900"/>
      </w:pPr>
      <w:r>
        <w:t>Schools will supplement the above information with documentation that is specific to the External Examiner’s appointment</w:t>
      </w:r>
      <w:r w:rsidR="003F4582">
        <w:t>, which as a minimum is:</w:t>
      </w:r>
    </w:p>
    <w:p w14:paraId="33890311" w14:textId="77777777" w:rsidR="007D7119" w:rsidRPr="006B24E4" w:rsidRDefault="007D7119" w:rsidP="007D7119">
      <w:pPr>
        <w:ind w:left="900"/>
      </w:pPr>
    </w:p>
    <w:p w14:paraId="406F4EAC" w14:textId="135CDD59" w:rsidR="003F4582" w:rsidRDefault="003F4582" w:rsidP="003F4582">
      <w:pPr>
        <w:pStyle w:val="ListParagraph"/>
        <w:numPr>
          <w:ilvl w:val="0"/>
          <w:numId w:val="14"/>
        </w:numPr>
        <w:rPr>
          <w:rFonts w:eastAsiaTheme="majorEastAsia" w:cs="Arial"/>
          <w:szCs w:val="24"/>
        </w:rPr>
      </w:pPr>
      <w:r>
        <w:rPr>
          <w:rFonts w:eastAsiaTheme="majorEastAsia" w:cs="Arial"/>
          <w:szCs w:val="24"/>
        </w:rPr>
        <w:t>Course</w:t>
      </w:r>
      <w:r w:rsidR="002F5BCF">
        <w:rPr>
          <w:rFonts w:eastAsiaTheme="majorEastAsia" w:cs="Arial"/>
          <w:szCs w:val="24"/>
        </w:rPr>
        <w:t>/Apprentice</w:t>
      </w:r>
      <w:r>
        <w:rPr>
          <w:rFonts w:eastAsiaTheme="majorEastAsia" w:cs="Arial"/>
          <w:szCs w:val="24"/>
        </w:rPr>
        <w:t xml:space="preserve"> Handbooks (including course specifications)</w:t>
      </w:r>
      <w:r w:rsidR="00F5788D">
        <w:rPr>
          <w:rFonts w:eastAsiaTheme="majorEastAsia" w:cs="Arial"/>
          <w:szCs w:val="24"/>
        </w:rPr>
        <w:t>.</w:t>
      </w:r>
    </w:p>
    <w:p w14:paraId="4E2B54DA" w14:textId="1937CE12" w:rsidR="003F4582" w:rsidRDefault="00D00E1B" w:rsidP="003F4582">
      <w:pPr>
        <w:pStyle w:val="ListParagraph"/>
        <w:numPr>
          <w:ilvl w:val="0"/>
          <w:numId w:val="14"/>
        </w:numPr>
        <w:rPr>
          <w:rFonts w:eastAsiaTheme="majorEastAsia" w:cs="Arial"/>
          <w:szCs w:val="24"/>
        </w:rPr>
      </w:pPr>
      <w:r>
        <w:rPr>
          <w:rFonts w:eastAsiaTheme="majorEastAsia" w:cs="Arial"/>
          <w:szCs w:val="24"/>
        </w:rPr>
        <w:t>Module specifications</w:t>
      </w:r>
      <w:r w:rsidR="0099235F">
        <w:rPr>
          <w:rFonts w:eastAsiaTheme="majorEastAsia" w:cs="Arial"/>
          <w:szCs w:val="24"/>
        </w:rPr>
        <w:t>, including learning outcomes and assessment methods</w:t>
      </w:r>
      <w:r w:rsidR="00F5788D">
        <w:rPr>
          <w:rFonts w:eastAsiaTheme="majorEastAsia" w:cs="Arial"/>
          <w:szCs w:val="24"/>
        </w:rPr>
        <w:t>.</w:t>
      </w:r>
    </w:p>
    <w:p w14:paraId="09EAD7D9" w14:textId="03D85FD1" w:rsidR="00D00E1B" w:rsidRDefault="00D00E1B" w:rsidP="003F4582">
      <w:pPr>
        <w:pStyle w:val="ListParagraph"/>
        <w:numPr>
          <w:ilvl w:val="0"/>
          <w:numId w:val="14"/>
        </w:numPr>
        <w:rPr>
          <w:rFonts w:eastAsiaTheme="majorEastAsia" w:cs="Arial"/>
          <w:szCs w:val="24"/>
        </w:rPr>
      </w:pPr>
      <w:r>
        <w:rPr>
          <w:rFonts w:eastAsiaTheme="majorEastAsia" w:cs="Arial"/>
          <w:szCs w:val="24"/>
        </w:rPr>
        <w:t>Guidance on marking and moderation practices</w:t>
      </w:r>
      <w:r w:rsidR="00F5788D">
        <w:rPr>
          <w:rFonts w:eastAsiaTheme="majorEastAsia" w:cs="Arial"/>
          <w:szCs w:val="24"/>
        </w:rPr>
        <w:t>.</w:t>
      </w:r>
    </w:p>
    <w:p w14:paraId="2963A182" w14:textId="1EE09597" w:rsidR="00D00E1B" w:rsidRDefault="00D00E1B" w:rsidP="003F4582">
      <w:pPr>
        <w:pStyle w:val="ListParagraph"/>
        <w:numPr>
          <w:ilvl w:val="0"/>
          <w:numId w:val="14"/>
        </w:numPr>
        <w:rPr>
          <w:rFonts w:eastAsiaTheme="majorEastAsia" w:cs="Arial"/>
          <w:szCs w:val="24"/>
        </w:rPr>
      </w:pPr>
      <w:r>
        <w:rPr>
          <w:rFonts w:eastAsiaTheme="majorEastAsia" w:cs="Arial"/>
          <w:szCs w:val="24"/>
        </w:rPr>
        <w:t>Relevant QAA subject benchmark statements</w:t>
      </w:r>
      <w:r w:rsidR="00F5788D">
        <w:rPr>
          <w:rFonts w:eastAsiaTheme="majorEastAsia" w:cs="Arial"/>
          <w:szCs w:val="24"/>
        </w:rPr>
        <w:t>.</w:t>
      </w:r>
    </w:p>
    <w:p w14:paraId="0F4FA900" w14:textId="76C3EA07" w:rsidR="00D00E1B" w:rsidRDefault="00500B47" w:rsidP="003F4582">
      <w:pPr>
        <w:pStyle w:val="ListParagraph"/>
        <w:numPr>
          <w:ilvl w:val="0"/>
          <w:numId w:val="14"/>
        </w:numPr>
        <w:rPr>
          <w:rFonts w:eastAsiaTheme="majorEastAsia" w:cs="Arial"/>
          <w:szCs w:val="24"/>
        </w:rPr>
      </w:pPr>
      <w:r>
        <w:rPr>
          <w:rFonts w:eastAsiaTheme="majorEastAsia" w:cs="Arial"/>
          <w:szCs w:val="24"/>
        </w:rPr>
        <w:t>Details of Professional, Statutory and Regulat</w:t>
      </w:r>
      <w:r w:rsidR="00A80EF4">
        <w:rPr>
          <w:rFonts w:eastAsiaTheme="majorEastAsia" w:cs="Arial"/>
          <w:szCs w:val="24"/>
        </w:rPr>
        <w:t>ory</w:t>
      </w:r>
      <w:r>
        <w:rPr>
          <w:rFonts w:eastAsiaTheme="majorEastAsia" w:cs="Arial"/>
          <w:szCs w:val="24"/>
        </w:rPr>
        <w:t xml:space="preserve"> Body (PSRB) requirement</w:t>
      </w:r>
      <w:r w:rsidR="00A80EF4">
        <w:rPr>
          <w:rFonts w:eastAsiaTheme="majorEastAsia" w:cs="Arial"/>
          <w:szCs w:val="24"/>
        </w:rPr>
        <w:t>s</w:t>
      </w:r>
      <w:r>
        <w:rPr>
          <w:rFonts w:eastAsiaTheme="majorEastAsia" w:cs="Arial"/>
          <w:szCs w:val="24"/>
        </w:rPr>
        <w:t xml:space="preserve"> where they are appropriate.</w:t>
      </w:r>
    </w:p>
    <w:p w14:paraId="44A6859C" w14:textId="7D64998C" w:rsidR="00561A00" w:rsidRDefault="00C414B1" w:rsidP="00561A00">
      <w:pPr>
        <w:pStyle w:val="ListParagraph"/>
        <w:numPr>
          <w:ilvl w:val="0"/>
          <w:numId w:val="14"/>
        </w:numPr>
        <w:rPr>
          <w:szCs w:val="24"/>
        </w:rPr>
      </w:pPr>
      <w:r>
        <w:rPr>
          <w:szCs w:val="24"/>
        </w:rPr>
        <w:t>Links</w:t>
      </w:r>
      <w:r w:rsidR="00561A00">
        <w:rPr>
          <w:szCs w:val="24"/>
        </w:rPr>
        <w:t xml:space="preserve"> to the relevant Apprenticeship Standard and </w:t>
      </w:r>
      <w:r w:rsidR="009854E0">
        <w:rPr>
          <w:szCs w:val="24"/>
        </w:rPr>
        <w:t xml:space="preserve">End Point </w:t>
      </w:r>
      <w:r w:rsidR="00561A00">
        <w:rPr>
          <w:szCs w:val="24"/>
        </w:rPr>
        <w:t>Assessment Plan, where appropriate.</w:t>
      </w:r>
    </w:p>
    <w:p w14:paraId="17639469" w14:textId="145BF258" w:rsidR="002C4FCC" w:rsidRPr="005F4887" w:rsidRDefault="001F0C03" w:rsidP="005F4887">
      <w:pPr>
        <w:pStyle w:val="ListParagraph"/>
        <w:numPr>
          <w:ilvl w:val="0"/>
          <w:numId w:val="14"/>
        </w:numPr>
        <w:rPr>
          <w:szCs w:val="24"/>
        </w:rPr>
      </w:pPr>
      <w:r>
        <w:rPr>
          <w:szCs w:val="24"/>
        </w:rPr>
        <w:t>School contact details and</w:t>
      </w:r>
      <w:r w:rsidRPr="002C4FCC">
        <w:rPr>
          <w:szCs w:val="24"/>
        </w:rPr>
        <w:t xml:space="preserve"> how </w:t>
      </w:r>
      <w:r>
        <w:rPr>
          <w:szCs w:val="24"/>
        </w:rPr>
        <w:t>to</w:t>
      </w:r>
      <w:r w:rsidRPr="002C4FCC">
        <w:rPr>
          <w:szCs w:val="24"/>
        </w:rPr>
        <w:t xml:space="preserve"> communicate with internal examiners and others involved in the teaching and assessment.</w:t>
      </w:r>
    </w:p>
    <w:p w14:paraId="0125137B" w14:textId="77777777" w:rsidR="00336CB4" w:rsidRPr="00A23361" w:rsidRDefault="00336CB4" w:rsidP="00AF12AD">
      <w:pPr>
        <w:rPr>
          <w:rFonts w:cs="Arial"/>
          <w:szCs w:val="24"/>
        </w:rPr>
      </w:pPr>
    </w:p>
    <w:p w14:paraId="379574B9" w14:textId="1F943467" w:rsidR="007B0102" w:rsidRDefault="007B0102" w:rsidP="007D7119">
      <w:pPr>
        <w:ind w:left="900"/>
        <w:rPr>
          <w:szCs w:val="24"/>
        </w:rPr>
      </w:pPr>
      <w:r>
        <w:rPr>
          <w:szCs w:val="24"/>
        </w:rPr>
        <w:t xml:space="preserve">Revised information will be provided </w:t>
      </w:r>
      <w:r w:rsidR="00170412">
        <w:rPr>
          <w:szCs w:val="24"/>
        </w:rPr>
        <w:t xml:space="preserve">as appropriate </w:t>
      </w:r>
      <w:r>
        <w:rPr>
          <w:szCs w:val="24"/>
        </w:rPr>
        <w:t>through</w:t>
      </w:r>
      <w:r w:rsidR="00940F34">
        <w:rPr>
          <w:szCs w:val="24"/>
        </w:rPr>
        <w:t>out</w:t>
      </w:r>
      <w:r>
        <w:rPr>
          <w:szCs w:val="24"/>
        </w:rPr>
        <w:t xml:space="preserve"> the tenure period.</w:t>
      </w:r>
    </w:p>
    <w:p w14:paraId="2B015A3E" w14:textId="6DEFD589" w:rsidR="009A350A" w:rsidRDefault="009A350A" w:rsidP="00AF12AD">
      <w:pPr>
        <w:rPr>
          <w:szCs w:val="24"/>
        </w:rPr>
      </w:pPr>
    </w:p>
    <w:p w14:paraId="46FF3518" w14:textId="046D5A85" w:rsidR="00457400" w:rsidRPr="004E6DBE" w:rsidRDefault="006B78E7" w:rsidP="007D7119">
      <w:pPr>
        <w:ind w:left="900"/>
        <w:rPr>
          <w:rFonts w:cs="Arial"/>
        </w:rPr>
      </w:pPr>
      <w:r>
        <w:lastRenderedPageBreak/>
        <w:t xml:space="preserve">Module/Award </w:t>
      </w:r>
      <w:r w:rsidR="0020297E">
        <w:t xml:space="preserve">External </w:t>
      </w:r>
      <w:r w:rsidR="009A350A">
        <w:t>Examiner</w:t>
      </w:r>
      <w:r w:rsidR="00940F34">
        <w:t>s</w:t>
      </w:r>
      <w:r w:rsidR="009A350A">
        <w:t xml:space="preserve"> new to </w:t>
      </w:r>
      <w:r w:rsidR="0020297E">
        <w:t>the role</w:t>
      </w:r>
      <w:r w:rsidR="009A350A">
        <w:t xml:space="preserve"> will be provided with additional support </w:t>
      </w:r>
      <w:r w:rsidR="00723530">
        <w:t xml:space="preserve">during their first year </w:t>
      </w:r>
      <w:r w:rsidR="009A350A">
        <w:t xml:space="preserve">from </w:t>
      </w:r>
      <w:r w:rsidR="00A80EF4">
        <w:t xml:space="preserve">a </w:t>
      </w:r>
      <w:r w:rsidR="009A350A">
        <w:t>mentor</w:t>
      </w:r>
      <w:r w:rsidR="007D5B1C">
        <w:t xml:space="preserve">. </w:t>
      </w:r>
      <w:r w:rsidR="004E6DBE" w:rsidRPr="63DF70D2">
        <w:rPr>
          <w:rFonts w:cs="Arial"/>
        </w:rPr>
        <w:t xml:space="preserve">The mentor </w:t>
      </w:r>
      <w:r w:rsidR="00F43C85" w:rsidRPr="63DF70D2">
        <w:rPr>
          <w:rFonts w:cs="Arial"/>
        </w:rPr>
        <w:t>will</w:t>
      </w:r>
      <w:r w:rsidR="004E6DBE" w:rsidRPr="63DF70D2">
        <w:rPr>
          <w:rFonts w:cs="Arial"/>
        </w:rPr>
        <w:t xml:space="preserve"> normally be an experienced Teesside University External Examiner with at least </w:t>
      </w:r>
      <w:r w:rsidR="00215382">
        <w:rPr>
          <w:rFonts w:cs="Arial"/>
        </w:rPr>
        <w:t>one</w:t>
      </w:r>
      <w:r w:rsidR="004E6DBE" w:rsidRPr="63DF70D2">
        <w:rPr>
          <w:rFonts w:cs="Arial"/>
        </w:rPr>
        <w:t xml:space="preserve"> years’ external examining experience at </w:t>
      </w:r>
      <w:r w:rsidR="007D5B1C" w:rsidRPr="63DF70D2">
        <w:rPr>
          <w:rFonts w:cs="Arial"/>
        </w:rPr>
        <w:t xml:space="preserve">TU. </w:t>
      </w:r>
      <w:r w:rsidR="00A3660F" w:rsidRPr="63DF70D2">
        <w:rPr>
          <w:rFonts w:cs="Arial"/>
        </w:rPr>
        <w:t>Fu</w:t>
      </w:r>
      <w:r w:rsidR="00B4197E">
        <w:rPr>
          <w:rFonts w:cs="Arial"/>
        </w:rPr>
        <w:t xml:space="preserve">rther information regarding </w:t>
      </w:r>
      <w:r w:rsidR="00F43C85" w:rsidRPr="63DF70D2">
        <w:rPr>
          <w:rFonts w:cs="Arial"/>
        </w:rPr>
        <w:t xml:space="preserve">the mentor role </w:t>
      </w:r>
      <w:r w:rsidR="00B4197E">
        <w:rPr>
          <w:rFonts w:cs="Arial"/>
        </w:rPr>
        <w:t>is</w:t>
      </w:r>
      <w:r w:rsidR="00FD408B" w:rsidRPr="63DF70D2">
        <w:rPr>
          <w:rFonts w:cs="Arial"/>
        </w:rPr>
        <w:t xml:space="preserve"> available </w:t>
      </w:r>
      <w:r w:rsidR="00B4197E">
        <w:rPr>
          <w:rFonts w:cs="Arial"/>
        </w:rPr>
        <w:t xml:space="preserve">within the </w:t>
      </w:r>
      <w:hyperlink r:id="rId19" w:history="1">
        <w:r w:rsidR="00B4197E" w:rsidRPr="00B4197E">
          <w:rPr>
            <w:rStyle w:val="Hyperlink"/>
            <w:rFonts w:cs="Arial"/>
            <w:b/>
            <w:bCs/>
          </w:rPr>
          <w:t>External Examiner Mentor Guidelines.</w:t>
        </w:r>
      </w:hyperlink>
    </w:p>
    <w:p w14:paraId="2C63FD63" w14:textId="77777777" w:rsidR="0099235F" w:rsidRDefault="0099235F" w:rsidP="00002240">
      <w:pPr>
        <w:ind w:left="851" w:hanging="851"/>
        <w:rPr>
          <w:szCs w:val="24"/>
        </w:rPr>
      </w:pPr>
    </w:p>
    <w:p w14:paraId="4F6DB8C2" w14:textId="28C8B0AE" w:rsidR="00783FA2" w:rsidRDefault="00783FA2" w:rsidP="00002240">
      <w:pPr>
        <w:ind w:left="851" w:hanging="851"/>
        <w:rPr>
          <w:szCs w:val="24"/>
        </w:rPr>
      </w:pPr>
    </w:p>
    <w:p w14:paraId="0ED28409" w14:textId="1D5121C0" w:rsidR="00F53DB8" w:rsidRPr="007D7119" w:rsidRDefault="00F53DB8" w:rsidP="007D7119">
      <w:pPr>
        <w:pStyle w:val="Heading1"/>
      </w:pPr>
      <w:bookmarkStart w:id="7" w:name="_Toc134519913"/>
      <w:r w:rsidRPr="007D7119">
        <w:t>4.</w:t>
      </w:r>
      <w:r w:rsidRPr="007D7119">
        <w:tab/>
      </w:r>
      <w:r w:rsidR="00895077" w:rsidRPr="007D7119">
        <w:t>Role and Duties</w:t>
      </w:r>
      <w:bookmarkEnd w:id="7"/>
    </w:p>
    <w:p w14:paraId="2EDE1DF9" w14:textId="1A30B5FF" w:rsidR="00DC2335" w:rsidRDefault="00DC2335" w:rsidP="00002240">
      <w:pPr>
        <w:ind w:left="851" w:hanging="851"/>
        <w:rPr>
          <w:szCs w:val="24"/>
        </w:rPr>
      </w:pPr>
    </w:p>
    <w:p w14:paraId="59C2B7A0" w14:textId="04A6DD8F" w:rsidR="00DC2335" w:rsidRPr="007D7119" w:rsidRDefault="000F5CD1" w:rsidP="007D7119">
      <w:pPr>
        <w:pStyle w:val="Heading2"/>
      </w:pPr>
      <w:bookmarkStart w:id="8" w:name="_Toc134519914"/>
      <w:r w:rsidRPr="007D7119">
        <w:t>4.1</w:t>
      </w:r>
      <w:r w:rsidR="00DC2335" w:rsidRPr="007D7119">
        <w:tab/>
      </w:r>
      <w:r w:rsidR="006468BC" w:rsidRPr="007D7119">
        <w:t>Enhancement of Quality</w:t>
      </w:r>
      <w:bookmarkEnd w:id="8"/>
    </w:p>
    <w:p w14:paraId="4F202AB1" w14:textId="04FECDB9" w:rsidR="008951AC" w:rsidRPr="005C2C83" w:rsidRDefault="008951AC" w:rsidP="00002240">
      <w:pPr>
        <w:ind w:left="851" w:hanging="851"/>
        <w:rPr>
          <w:rFonts w:cs="Arial"/>
          <w:szCs w:val="24"/>
        </w:rPr>
      </w:pPr>
    </w:p>
    <w:p w14:paraId="3A389CEA" w14:textId="37DC30DC" w:rsidR="005C2C83" w:rsidRPr="005C2C83" w:rsidRDefault="005C2C83" w:rsidP="007D7119">
      <w:pPr>
        <w:autoSpaceDE w:val="0"/>
        <w:autoSpaceDN w:val="0"/>
        <w:adjustRightInd w:val="0"/>
        <w:ind w:left="900"/>
        <w:rPr>
          <w:rFonts w:cs="Arial"/>
          <w:szCs w:val="24"/>
        </w:rPr>
      </w:pPr>
      <w:r w:rsidRPr="005C2C83">
        <w:rPr>
          <w:rFonts w:cs="Arial"/>
          <w:szCs w:val="24"/>
        </w:rPr>
        <w:t xml:space="preserve">External Examiners </w:t>
      </w:r>
      <w:r w:rsidR="00E6793C">
        <w:rPr>
          <w:rFonts w:cs="Arial"/>
          <w:szCs w:val="24"/>
        </w:rPr>
        <w:t xml:space="preserve">will </w:t>
      </w:r>
      <w:r w:rsidRPr="005C2C83">
        <w:rPr>
          <w:rFonts w:cs="Arial"/>
          <w:szCs w:val="24"/>
        </w:rPr>
        <w:t>have the opportunity to contribute to the enhancement of the student learning experience during their term of appointment.</w:t>
      </w:r>
    </w:p>
    <w:p w14:paraId="5CCB6001" w14:textId="77777777" w:rsidR="005C2C83" w:rsidRPr="005C2C83" w:rsidRDefault="005C2C83" w:rsidP="007D7119">
      <w:pPr>
        <w:autoSpaceDE w:val="0"/>
        <w:autoSpaceDN w:val="0"/>
        <w:adjustRightInd w:val="0"/>
        <w:ind w:left="900"/>
        <w:rPr>
          <w:rFonts w:cs="Arial"/>
          <w:szCs w:val="24"/>
        </w:rPr>
      </w:pPr>
    </w:p>
    <w:p w14:paraId="65919463" w14:textId="0EA571AA" w:rsidR="00D4561F" w:rsidRDefault="005C2C83" w:rsidP="007D7119">
      <w:pPr>
        <w:autoSpaceDE w:val="0"/>
        <w:autoSpaceDN w:val="0"/>
        <w:adjustRightInd w:val="0"/>
        <w:ind w:left="900"/>
        <w:rPr>
          <w:rFonts w:cs="Arial"/>
          <w:szCs w:val="24"/>
        </w:rPr>
      </w:pPr>
      <w:r w:rsidRPr="005C2C83">
        <w:rPr>
          <w:rFonts w:cs="Arial"/>
          <w:szCs w:val="24"/>
        </w:rPr>
        <w:t>Schools are encouraged to utilise the External Examiner</w:t>
      </w:r>
      <w:r w:rsidR="00800162">
        <w:rPr>
          <w:rFonts w:cs="Arial"/>
          <w:szCs w:val="24"/>
        </w:rPr>
        <w:t>’</w:t>
      </w:r>
      <w:r w:rsidRPr="005C2C83">
        <w:rPr>
          <w:rFonts w:cs="Arial"/>
          <w:szCs w:val="24"/>
        </w:rPr>
        <w:t xml:space="preserve">s experience </w:t>
      </w:r>
      <w:r w:rsidR="003B02FA">
        <w:rPr>
          <w:rFonts w:cs="Arial"/>
          <w:szCs w:val="24"/>
        </w:rPr>
        <w:t xml:space="preserve">of working at other institutions </w:t>
      </w:r>
      <w:r w:rsidR="006C16C6">
        <w:rPr>
          <w:rFonts w:cs="Arial"/>
          <w:szCs w:val="24"/>
        </w:rPr>
        <w:t xml:space="preserve">or in practice </w:t>
      </w:r>
      <w:r w:rsidR="003B02FA">
        <w:rPr>
          <w:rFonts w:cs="Arial"/>
          <w:szCs w:val="24"/>
        </w:rPr>
        <w:t xml:space="preserve">during their </w:t>
      </w:r>
      <w:r w:rsidRPr="005C2C83">
        <w:rPr>
          <w:rFonts w:cs="Arial"/>
          <w:szCs w:val="24"/>
        </w:rPr>
        <w:t xml:space="preserve">discussions with academic staff </w:t>
      </w:r>
      <w:r w:rsidR="003B02FA">
        <w:rPr>
          <w:rFonts w:cs="Arial"/>
          <w:szCs w:val="24"/>
        </w:rPr>
        <w:t>to enhance</w:t>
      </w:r>
      <w:r w:rsidRPr="005C2C83">
        <w:rPr>
          <w:rFonts w:cs="Arial"/>
          <w:szCs w:val="24"/>
        </w:rPr>
        <w:t xml:space="preserve"> the structure and content of </w:t>
      </w:r>
      <w:r w:rsidR="00342497">
        <w:rPr>
          <w:rFonts w:cs="Arial"/>
          <w:szCs w:val="24"/>
        </w:rPr>
        <w:t>courses</w:t>
      </w:r>
      <w:r w:rsidR="003B065D">
        <w:rPr>
          <w:rFonts w:cs="Arial"/>
          <w:szCs w:val="24"/>
        </w:rPr>
        <w:t xml:space="preserve"> and modules</w:t>
      </w:r>
      <w:r w:rsidR="00AB67EF" w:rsidRPr="005C2C83">
        <w:rPr>
          <w:rFonts w:cs="Arial"/>
          <w:szCs w:val="24"/>
        </w:rPr>
        <w:t>.</w:t>
      </w:r>
      <w:r w:rsidR="00AB67EF">
        <w:rPr>
          <w:rFonts w:cs="Arial"/>
          <w:szCs w:val="24"/>
        </w:rPr>
        <w:t xml:space="preserve"> </w:t>
      </w:r>
    </w:p>
    <w:p w14:paraId="18A3E04E" w14:textId="318AF110" w:rsidR="00A80EF4" w:rsidRDefault="00A80EF4" w:rsidP="007D7119">
      <w:pPr>
        <w:autoSpaceDE w:val="0"/>
        <w:autoSpaceDN w:val="0"/>
        <w:adjustRightInd w:val="0"/>
        <w:ind w:left="900"/>
        <w:rPr>
          <w:rFonts w:cs="Arial"/>
          <w:szCs w:val="24"/>
        </w:rPr>
      </w:pPr>
    </w:p>
    <w:p w14:paraId="0EFD29CF" w14:textId="0B9AC6BF" w:rsidR="005C2C83" w:rsidRPr="005C2C83" w:rsidRDefault="005C2C83" w:rsidP="007D7119">
      <w:pPr>
        <w:autoSpaceDE w:val="0"/>
        <w:autoSpaceDN w:val="0"/>
        <w:adjustRightInd w:val="0"/>
        <w:ind w:left="900"/>
        <w:rPr>
          <w:rFonts w:cs="Arial"/>
        </w:rPr>
      </w:pPr>
      <w:r w:rsidRPr="5E701C7A">
        <w:rPr>
          <w:rFonts w:cs="Arial"/>
        </w:rPr>
        <w:t xml:space="preserve">External Examiners </w:t>
      </w:r>
      <w:r w:rsidR="00342497" w:rsidRPr="5E701C7A">
        <w:rPr>
          <w:rFonts w:cs="Arial"/>
        </w:rPr>
        <w:t>will</w:t>
      </w:r>
      <w:r w:rsidRPr="5E701C7A">
        <w:rPr>
          <w:rFonts w:cs="Arial"/>
        </w:rPr>
        <w:t xml:space="preserve"> be asked to comment on any proposed </w:t>
      </w:r>
      <w:r w:rsidR="00FB60F4" w:rsidRPr="5E701C7A">
        <w:rPr>
          <w:rFonts w:cs="Arial"/>
        </w:rPr>
        <w:t>modifications</w:t>
      </w:r>
      <w:r w:rsidRPr="5E701C7A">
        <w:rPr>
          <w:rFonts w:cs="Arial"/>
        </w:rPr>
        <w:t xml:space="preserve"> to </w:t>
      </w:r>
      <w:r w:rsidR="00FB60F4" w:rsidRPr="5E701C7A">
        <w:rPr>
          <w:rFonts w:cs="Arial"/>
        </w:rPr>
        <w:t>existing courses</w:t>
      </w:r>
      <w:r w:rsidR="0047595D" w:rsidRPr="5E701C7A">
        <w:rPr>
          <w:rFonts w:cs="Arial"/>
        </w:rPr>
        <w:t xml:space="preserve"> and/or modules</w:t>
      </w:r>
      <w:r w:rsidR="00D41927">
        <w:rPr>
          <w:rFonts w:cs="Arial"/>
        </w:rPr>
        <w:t>, partnership locations</w:t>
      </w:r>
      <w:r w:rsidRPr="5E701C7A">
        <w:rPr>
          <w:rFonts w:cs="Arial"/>
        </w:rPr>
        <w:t xml:space="preserve"> o</w:t>
      </w:r>
      <w:r w:rsidR="00A5742D" w:rsidRPr="5E701C7A">
        <w:rPr>
          <w:rFonts w:cs="Arial"/>
        </w:rPr>
        <w:t>r</w:t>
      </w:r>
      <w:r w:rsidRPr="5E701C7A">
        <w:rPr>
          <w:rFonts w:cs="Arial"/>
        </w:rPr>
        <w:t xml:space="preserve"> to provide advice following changes to PSRB requirements or similar.</w:t>
      </w:r>
    </w:p>
    <w:p w14:paraId="4D47993D" w14:textId="77777777" w:rsidR="005C2C83" w:rsidRPr="005C2C83" w:rsidRDefault="005C2C83" w:rsidP="007D7119">
      <w:pPr>
        <w:autoSpaceDE w:val="0"/>
        <w:autoSpaceDN w:val="0"/>
        <w:adjustRightInd w:val="0"/>
        <w:ind w:left="900"/>
        <w:rPr>
          <w:rFonts w:cs="Arial"/>
          <w:szCs w:val="24"/>
        </w:rPr>
      </w:pPr>
    </w:p>
    <w:p w14:paraId="38FB77B0" w14:textId="765EB628" w:rsidR="005C2C83" w:rsidRPr="006771BC" w:rsidRDefault="00F2666D" w:rsidP="007D7119">
      <w:pPr>
        <w:pStyle w:val="NormalWeb"/>
        <w:spacing w:before="0" w:beforeAutospacing="0" w:after="0" w:afterAutospacing="0"/>
        <w:ind w:left="900"/>
        <w:rPr>
          <w:rFonts w:ascii="Arial" w:hAnsi="Arial" w:cs="Arial"/>
          <w:color w:val="000000"/>
        </w:rPr>
      </w:pPr>
      <w:r w:rsidRPr="6447A6AC">
        <w:rPr>
          <w:rFonts w:ascii="Arial" w:hAnsi="Arial" w:cs="Arial"/>
          <w:color w:val="000000" w:themeColor="text1"/>
        </w:rPr>
        <w:t xml:space="preserve">There is no formal University requirement for </w:t>
      </w:r>
      <w:r w:rsidR="006771BC" w:rsidRPr="6447A6AC">
        <w:rPr>
          <w:rFonts w:ascii="Arial" w:hAnsi="Arial" w:cs="Arial"/>
          <w:color w:val="000000" w:themeColor="text1"/>
        </w:rPr>
        <w:t>E</w:t>
      </w:r>
      <w:r w:rsidRPr="6447A6AC">
        <w:rPr>
          <w:rFonts w:ascii="Arial" w:hAnsi="Arial" w:cs="Arial"/>
          <w:color w:val="000000" w:themeColor="text1"/>
        </w:rPr>
        <w:t xml:space="preserve">xternal </w:t>
      </w:r>
      <w:r w:rsidR="006771BC" w:rsidRPr="6447A6AC">
        <w:rPr>
          <w:rFonts w:ascii="Arial" w:hAnsi="Arial" w:cs="Arial"/>
          <w:color w:val="000000" w:themeColor="text1"/>
        </w:rPr>
        <w:t>E</w:t>
      </w:r>
      <w:r w:rsidRPr="6447A6AC">
        <w:rPr>
          <w:rFonts w:ascii="Arial" w:hAnsi="Arial" w:cs="Arial"/>
          <w:color w:val="000000" w:themeColor="text1"/>
        </w:rPr>
        <w:t>xaminers to meet with students</w:t>
      </w:r>
      <w:r w:rsidR="007D5B1C" w:rsidRPr="6447A6AC">
        <w:rPr>
          <w:rFonts w:ascii="Arial" w:hAnsi="Arial" w:cs="Arial"/>
          <w:color w:val="000000" w:themeColor="text1"/>
        </w:rPr>
        <w:t xml:space="preserve">. </w:t>
      </w:r>
      <w:r w:rsidRPr="6447A6AC">
        <w:rPr>
          <w:rFonts w:ascii="Arial" w:hAnsi="Arial" w:cs="Arial"/>
          <w:color w:val="000000" w:themeColor="text1"/>
        </w:rPr>
        <w:t>However</w:t>
      </w:r>
      <w:r w:rsidR="006771BC" w:rsidRPr="6447A6AC">
        <w:rPr>
          <w:rFonts w:ascii="Arial" w:hAnsi="Arial" w:cs="Arial"/>
          <w:color w:val="000000" w:themeColor="text1"/>
        </w:rPr>
        <w:t>,</w:t>
      </w:r>
      <w:r w:rsidRPr="6447A6AC">
        <w:rPr>
          <w:rFonts w:ascii="Arial" w:hAnsi="Arial" w:cs="Arial"/>
          <w:color w:val="000000" w:themeColor="text1"/>
        </w:rPr>
        <w:t xml:space="preserve"> providing </w:t>
      </w:r>
      <w:r w:rsidR="00C35C91">
        <w:rPr>
          <w:rFonts w:ascii="Arial" w:hAnsi="Arial" w:cs="Arial"/>
          <w:color w:val="000000" w:themeColor="text1"/>
        </w:rPr>
        <w:t xml:space="preserve">External </w:t>
      </w:r>
      <w:r w:rsidR="006771BC" w:rsidRPr="6447A6AC">
        <w:rPr>
          <w:rFonts w:ascii="Arial" w:hAnsi="Arial" w:cs="Arial"/>
          <w:color w:val="000000" w:themeColor="text1"/>
        </w:rPr>
        <w:t>E</w:t>
      </w:r>
      <w:r w:rsidRPr="6447A6AC">
        <w:rPr>
          <w:rFonts w:ascii="Arial" w:hAnsi="Arial" w:cs="Arial"/>
          <w:color w:val="000000" w:themeColor="text1"/>
        </w:rPr>
        <w:t xml:space="preserve">xaminers with an opportunity to meet with students may be deemed appropriate by the </w:t>
      </w:r>
      <w:r w:rsidR="009B0892" w:rsidRPr="6447A6AC">
        <w:rPr>
          <w:rFonts w:ascii="Arial" w:hAnsi="Arial" w:cs="Arial"/>
          <w:color w:val="000000" w:themeColor="text1"/>
        </w:rPr>
        <w:t>C</w:t>
      </w:r>
      <w:r w:rsidRPr="6447A6AC">
        <w:rPr>
          <w:rFonts w:ascii="Arial" w:hAnsi="Arial" w:cs="Arial"/>
          <w:color w:val="000000" w:themeColor="text1"/>
        </w:rPr>
        <w:t xml:space="preserve">ourse </w:t>
      </w:r>
      <w:r w:rsidR="009B0892" w:rsidRPr="6447A6AC">
        <w:rPr>
          <w:rFonts w:ascii="Arial" w:hAnsi="Arial" w:cs="Arial"/>
          <w:color w:val="000000" w:themeColor="text1"/>
        </w:rPr>
        <w:t>T</w:t>
      </w:r>
      <w:r w:rsidRPr="6447A6AC">
        <w:rPr>
          <w:rFonts w:ascii="Arial" w:hAnsi="Arial" w:cs="Arial"/>
          <w:color w:val="000000" w:themeColor="text1"/>
        </w:rPr>
        <w:t>eam depending on the nature of the discipline and/or assessment method</w:t>
      </w:r>
      <w:r w:rsidR="007D5B1C" w:rsidRPr="6447A6AC">
        <w:rPr>
          <w:rFonts w:ascii="Arial" w:hAnsi="Arial" w:cs="Arial"/>
          <w:color w:val="000000" w:themeColor="text1"/>
        </w:rPr>
        <w:t xml:space="preserve">. </w:t>
      </w:r>
      <w:r w:rsidRPr="6447A6AC">
        <w:rPr>
          <w:rFonts w:ascii="Arial" w:hAnsi="Arial" w:cs="Arial"/>
          <w:color w:val="000000" w:themeColor="text1"/>
        </w:rPr>
        <w:t xml:space="preserve">Where the </w:t>
      </w:r>
      <w:r w:rsidR="009B0892" w:rsidRPr="6447A6AC">
        <w:rPr>
          <w:rFonts w:ascii="Arial" w:hAnsi="Arial" w:cs="Arial"/>
          <w:color w:val="000000" w:themeColor="text1"/>
        </w:rPr>
        <w:t>C</w:t>
      </w:r>
      <w:r w:rsidRPr="6447A6AC">
        <w:rPr>
          <w:rFonts w:ascii="Arial" w:hAnsi="Arial" w:cs="Arial"/>
          <w:color w:val="000000" w:themeColor="text1"/>
        </w:rPr>
        <w:t xml:space="preserve">ourse </w:t>
      </w:r>
      <w:r w:rsidR="009B0892" w:rsidRPr="6447A6AC">
        <w:rPr>
          <w:rFonts w:ascii="Arial" w:hAnsi="Arial" w:cs="Arial"/>
          <w:color w:val="000000" w:themeColor="text1"/>
        </w:rPr>
        <w:t>T</w:t>
      </w:r>
      <w:r w:rsidRPr="6447A6AC">
        <w:rPr>
          <w:rFonts w:ascii="Arial" w:hAnsi="Arial" w:cs="Arial"/>
          <w:color w:val="000000" w:themeColor="text1"/>
        </w:rPr>
        <w:t xml:space="preserve">eam provides </w:t>
      </w:r>
      <w:r w:rsidR="00894315">
        <w:rPr>
          <w:rFonts w:ascii="Arial" w:hAnsi="Arial" w:cs="Arial"/>
          <w:color w:val="000000" w:themeColor="text1"/>
        </w:rPr>
        <w:t>this</w:t>
      </w:r>
      <w:r w:rsidRPr="6447A6AC">
        <w:rPr>
          <w:rFonts w:ascii="Arial" w:hAnsi="Arial" w:cs="Arial"/>
          <w:color w:val="000000" w:themeColor="text1"/>
        </w:rPr>
        <w:t xml:space="preserve"> opportunity</w:t>
      </w:r>
      <w:r w:rsidR="00D41927">
        <w:rPr>
          <w:rFonts w:ascii="Arial" w:hAnsi="Arial" w:cs="Arial"/>
          <w:color w:val="000000" w:themeColor="text1"/>
        </w:rPr>
        <w:t>,</w:t>
      </w:r>
      <w:r w:rsidRPr="6447A6AC">
        <w:rPr>
          <w:rFonts w:ascii="Arial" w:hAnsi="Arial" w:cs="Arial"/>
          <w:color w:val="000000" w:themeColor="text1"/>
        </w:rPr>
        <w:t xml:space="preserve"> clear guidance </w:t>
      </w:r>
      <w:r w:rsidR="00E23055" w:rsidRPr="6447A6AC">
        <w:rPr>
          <w:rFonts w:ascii="Arial" w:hAnsi="Arial" w:cs="Arial"/>
          <w:color w:val="000000" w:themeColor="text1"/>
        </w:rPr>
        <w:t>will</w:t>
      </w:r>
      <w:r w:rsidRPr="6447A6AC">
        <w:rPr>
          <w:rFonts w:ascii="Arial" w:hAnsi="Arial" w:cs="Arial"/>
          <w:color w:val="000000" w:themeColor="text1"/>
        </w:rPr>
        <w:t xml:space="preserve"> be provided to students about the purpose of the meeting</w:t>
      </w:r>
      <w:r w:rsidR="007D5B1C" w:rsidRPr="6447A6AC">
        <w:rPr>
          <w:rFonts w:ascii="Arial" w:hAnsi="Arial" w:cs="Arial"/>
          <w:color w:val="000000" w:themeColor="text1"/>
        </w:rPr>
        <w:t xml:space="preserve">. </w:t>
      </w:r>
      <w:r w:rsidR="009709D7" w:rsidRPr="6447A6AC">
        <w:rPr>
          <w:rFonts w:ascii="Arial" w:hAnsi="Arial" w:cs="Arial"/>
        </w:rPr>
        <w:t>Such meetings</w:t>
      </w:r>
      <w:r w:rsidR="000B5EAB" w:rsidRPr="6447A6AC">
        <w:rPr>
          <w:rFonts w:ascii="Arial" w:hAnsi="Arial" w:cs="Arial"/>
        </w:rPr>
        <w:t xml:space="preserve"> </w:t>
      </w:r>
      <w:r w:rsidR="005420BF">
        <w:rPr>
          <w:rFonts w:ascii="Arial" w:hAnsi="Arial" w:cs="Arial"/>
        </w:rPr>
        <w:t>may</w:t>
      </w:r>
      <w:r w:rsidR="00175E78" w:rsidRPr="6447A6AC">
        <w:rPr>
          <w:rFonts w:ascii="Arial" w:hAnsi="Arial" w:cs="Arial"/>
        </w:rPr>
        <w:t xml:space="preserve"> </w:t>
      </w:r>
      <w:r w:rsidR="000B5EAB" w:rsidRPr="6447A6AC">
        <w:rPr>
          <w:rFonts w:ascii="Arial" w:hAnsi="Arial" w:cs="Arial"/>
        </w:rPr>
        <w:t xml:space="preserve">be conducted </w:t>
      </w:r>
      <w:r w:rsidR="000B038C" w:rsidRPr="6447A6AC">
        <w:rPr>
          <w:rFonts w:ascii="Arial" w:hAnsi="Arial" w:cs="Arial"/>
        </w:rPr>
        <w:t xml:space="preserve">via </w:t>
      </w:r>
      <w:r w:rsidR="000B5EAB" w:rsidRPr="6447A6AC">
        <w:rPr>
          <w:rFonts w:ascii="Arial" w:hAnsi="Arial" w:cs="Arial"/>
        </w:rPr>
        <w:t>online</w:t>
      </w:r>
      <w:r w:rsidR="000B038C" w:rsidRPr="6447A6AC">
        <w:rPr>
          <w:rFonts w:ascii="Arial" w:hAnsi="Arial" w:cs="Arial"/>
        </w:rPr>
        <w:t xml:space="preserve"> means</w:t>
      </w:r>
      <w:r w:rsidR="000B5EAB" w:rsidRPr="6447A6AC">
        <w:rPr>
          <w:rFonts w:ascii="Arial" w:hAnsi="Arial" w:cs="Arial"/>
        </w:rPr>
        <w:t>.</w:t>
      </w:r>
    </w:p>
    <w:p w14:paraId="54F672E7" w14:textId="77777777" w:rsidR="005C2C83" w:rsidRPr="005C2C83" w:rsidRDefault="005C2C83" w:rsidP="007D7119">
      <w:pPr>
        <w:autoSpaceDE w:val="0"/>
        <w:autoSpaceDN w:val="0"/>
        <w:adjustRightInd w:val="0"/>
        <w:ind w:left="900"/>
        <w:rPr>
          <w:rFonts w:cs="Arial"/>
          <w:szCs w:val="24"/>
        </w:rPr>
      </w:pPr>
    </w:p>
    <w:p w14:paraId="3E26EE13" w14:textId="166AAB15" w:rsidR="005C2C83" w:rsidRPr="005C2C83" w:rsidRDefault="005C2C83" w:rsidP="007D7119">
      <w:pPr>
        <w:autoSpaceDE w:val="0"/>
        <w:autoSpaceDN w:val="0"/>
        <w:adjustRightInd w:val="0"/>
        <w:ind w:left="900"/>
        <w:rPr>
          <w:rFonts w:cs="Arial"/>
        </w:rPr>
      </w:pPr>
      <w:r w:rsidRPr="63DF70D2">
        <w:rPr>
          <w:rFonts w:cs="Arial"/>
        </w:rPr>
        <w:t xml:space="preserve">External Examiners are requested, through their annual report, to comment on strengths </w:t>
      </w:r>
      <w:r w:rsidR="000A556B" w:rsidRPr="63DF70D2">
        <w:rPr>
          <w:rFonts w:cs="Arial"/>
        </w:rPr>
        <w:t>and</w:t>
      </w:r>
      <w:r w:rsidRPr="63DF70D2">
        <w:rPr>
          <w:rFonts w:cs="Arial"/>
        </w:rPr>
        <w:t xml:space="preserve"> distinctive or innovative features in relation to</w:t>
      </w:r>
      <w:r w:rsidR="00121D18">
        <w:rPr>
          <w:rFonts w:cs="Arial"/>
        </w:rPr>
        <w:t xml:space="preserve"> academic</w:t>
      </w:r>
      <w:r w:rsidRPr="63DF70D2">
        <w:rPr>
          <w:rFonts w:cs="Arial"/>
        </w:rPr>
        <w:t xml:space="preserve"> standards and assessment, and to provide suggestions for the enhancement of the academic provision under scrutiny.</w:t>
      </w:r>
    </w:p>
    <w:p w14:paraId="4B315271" w14:textId="2524E25A" w:rsidR="004752FB" w:rsidRDefault="004752FB" w:rsidP="00002240">
      <w:pPr>
        <w:ind w:left="851" w:hanging="851"/>
        <w:rPr>
          <w:szCs w:val="24"/>
        </w:rPr>
      </w:pPr>
    </w:p>
    <w:p w14:paraId="097DC73D" w14:textId="55A59FBA" w:rsidR="008951AC" w:rsidRPr="007D7119" w:rsidRDefault="00F12CB3" w:rsidP="007D7119">
      <w:pPr>
        <w:pStyle w:val="Heading2"/>
      </w:pPr>
      <w:bookmarkStart w:id="9" w:name="_Toc134519915"/>
      <w:r w:rsidRPr="007D7119">
        <w:t>4.2</w:t>
      </w:r>
      <w:r w:rsidR="008951AC" w:rsidRPr="007D7119">
        <w:tab/>
      </w:r>
      <w:r w:rsidR="000F5CD1" w:rsidRPr="007D7119">
        <w:t>Scrutiny of Marking</w:t>
      </w:r>
      <w:bookmarkEnd w:id="9"/>
    </w:p>
    <w:p w14:paraId="4DED81F4" w14:textId="2B9F503F" w:rsidR="00007C5D" w:rsidRDefault="00007C5D" w:rsidP="00007C5D"/>
    <w:p w14:paraId="19D65C3A" w14:textId="4229303D" w:rsidR="00007C5D" w:rsidRDefault="00007C5D" w:rsidP="007D7119">
      <w:pPr>
        <w:autoSpaceDE w:val="0"/>
        <w:autoSpaceDN w:val="0"/>
        <w:adjustRightInd w:val="0"/>
        <w:ind w:left="900"/>
        <w:rPr>
          <w:rFonts w:cs="Arial"/>
          <w:szCs w:val="24"/>
        </w:rPr>
      </w:pPr>
      <w:r w:rsidRPr="00007C5D">
        <w:rPr>
          <w:rFonts w:cs="Arial"/>
          <w:szCs w:val="24"/>
        </w:rPr>
        <w:t>External Examiners are appointed to act as a moderator of academic standards, to comment</w:t>
      </w:r>
      <w:r>
        <w:rPr>
          <w:rFonts w:cs="Arial"/>
          <w:szCs w:val="24"/>
        </w:rPr>
        <w:t xml:space="preserve"> </w:t>
      </w:r>
      <w:r w:rsidRPr="00007C5D">
        <w:rPr>
          <w:rFonts w:cs="Arial"/>
          <w:szCs w:val="24"/>
        </w:rPr>
        <w:t>on the quality of academic provision</w:t>
      </w:r>
      <w:r w:rsidR="00DF2957">
        <w:rPr>
          <w:rFonts w:cs="Arial"/>
          <w:szCs w:val="24"/>
        </w:rPr>
        <w:t xml:space="preserve"> and the</w:t>
      </w:r>
      <w:r w:rsidRPr="00007C5D">
        <w:rPr>
          <w:rFonts w:cs="Arial"/>
          <w:szCs w:val="24"/>
        </w:rPr>
        <w:t xml:space="preserve"> comparability of standards and student</w:t>
      </w:r>
      <w:r>
        <w:rPr>
          <w:rFonts w:cs="Arial"/>
          <w:szCs w:val="24"/>
        </w:rPr>
        <w:t xml:space="preserve"> </w:t>
      </w:r>
      <w:r w:rsidRPr="00007C5D">
        <w:rPr>
          <w:rFonts w:cs="Arial"/>
          <w:szCs w:val="24"/>
        </w:rPr>
        <w:t>performance.</w:t>
      </w:r>
    </w:p>
    <w:p w14:paraId="52AC6E2B" w14:textId="3C0B3985" w:rsidR="008C7D52" w:rsidRDefault="008C7D52" w:rsidP="007D7119">
      <w:pPr>
        <w:autoSpaceDE w:val="0"/>
        <w:autoSpaceDN w:val="0"/>
        <w:adjustRightInd w:val="0"/>
        <w:ind w:left="900"/>
        <w:rPr>
          <w:rFonts w:cs="Arial"/>
          <w:szCs w:val="24"/>
        </w:rPr>
      </w:pPr>
    </w:p>
    <w:p w14:paraId="0F6AC86B" w14:textId="253A3686" w:rsidR="00072870" w:rsidRDefault="008C7D52" w:rsidP="007D7119">
      <w:pPr>
        <w:autoSpaceDE w:val="0"/>
        <w:autoSpaceDN w:val="0"/>
        <w:adjustRightInd w:val="0"/>
        <w:ind w:left="900"/>
        <w:rPr>
          <w:rFonts w:cs="Arial"/>
          <w:szCs w:val="24"/>
        </w:rPr>
      </w:pPr>
      <w:r>
        <w:rPr>
          <w:rFonts w:cs="Arial"/>
          <w:szCs w:val="24"/>
        </w:rPr>
        <w:t xml:space="preserve">The University’s </w:t>
      </w:r>
      <w:hyperlink r:id="rId20" w:history="1">
        <w:r w:rsidRPr="004A7ED2">
          <w:rPr>
            <w:rStyle w:val="Hyperlink"/>
            <w:rFonts w:cs="Arial"/>
            <w:b/>
            <w:bCs/>
            <w:color w:val="0070C0"/>
            <w:szCs w:val="24"/>
          </w:rPr>
          <w:t>Assessment &amp; Feedback Policy</w:t>
        </w:r>
      </w:hyperlink>
      <w:r>
        <w:rPr>
          <w:rFonts w:cs="Arial"/>
          <w:szCs w:val="24"/>
        </w:rPr>
        <w:t xml:space="preserve"> articulates the institutional approach to</w:t>
      </w:r>
      <w:r w:rsidR="004F0C8B">
        <w:rPr>
          <w:rFonts w:cs="Arial"/>
          <w:szCs w:val="24"/>
        </w:rPr>
        <w:t xml:space="preserve"> assessment </w:t>
      </w:r>
      <w:r w:rsidR="007826D4">
        <w:rPr>
          <w:rFonts w:cs="Arial"/>
          <w:szCs w:val="24"/>
        </w:rPr>
        <w:t>design</w:t>
      </w:r>
      <w:r w:rsidR="00E06C67">
        <w:rPr>
          <w:rFonts w:cs="Arial"/>
          <w:szCs w:val="24"/>
        </w:rPr>
        <w:t xml:space="preserve">, </w:t>
      </w:r>
      <w:r w:rsidR="007826D4">
        <w:rPr>
          <w:rFonts w:cs="Arial"/>
          <w:szCs w:val="24"/>
        </w:rPr>
        <w:t xml:space="preserve">feedback </w:t>
      </w:r>
      <w:r w:rsidR="00E06C67">
        <w:rPr>
          <w:rFonts w:cs="Arial"/>
          <w:szCs w:val="24"/>
        </w:rPr>
        <w:t>and standards</w:t>
      </w:r>
      <w:r w:rsidR="00094101">
        <w:rPr>
          <w:rFonts w:cs="Arial"/>
          <w:szCs w:val="24"/>
        </w:rPr>
        <w:t>, as follows</w:t>
      </w:r>
      <w:r w:rsidR="00072870">
        <w:rPr>
          <w:rFonts w:cs="Arial"/>
          <w:szCs w:val="24"/>
        </w:rPr>
        <w:t>:</w:t>
      </w:r>
    </w:p>
    <w:p w14:paraId="454A87A6" w14:textId="77777777" w:rsidR="007D7119" w:rsidRDefault="007D7119" w:rsidP="007D7119">
      <w:pPr>
        <w:autoSpaceDE w:val="0"/>
        <w:autoSpaceDN w:val="0"/>
        <w:adjustRightInd w:val="0"/>
        <w:ind w:left="900"/>
        <w:rPr>
          <w:rFonts w:cs="Arial"/>
          <w:szCs w:val="24"/>
        </w:rPr>
      </w:pPr>
    </w:p>
    <w:p w14:paraId="65A628BA" w14:textId="235C645C" w:rsidR="000D50F0" w:rsidRDefault="000D50F0" w:rsidP="001C49D7">
      <w:pPr>
        <w:pStyle w:val="ListParagraph"/>
        <w:numPr>
          <w:ilvl w:val="0"/>
          <w:numId w:val="16"/>
        </w:numPr>
        <w:autoSpaceDE w:val="0"/>
        <w:autoSpaceDN w:val="0"/>
        <w:adjustRightInd w:val="0"/>
        <w:rPr>
          <w:rFonts w:cs="Arial"/>
          <w:szCs w:val="24"/>
        </w:rPr>
      </w:pPr>
      <w:r>
        <w:rPr>
          <w:rFonts w:cs="Arial"/>
          <w:szCs w:val="24"/>
        </w:rPr>
        <w:lastRenderedPageBreak/>
        <w:t xml:space="preserve">Appendix C defines the University’s approach to </w:t>
      </w:r>
      <w:r w:rsidR="00192299">
        <w:rPr>
          <w:rFonts w:cs="Arial"/>
          <w:szCs w:val="24"/>
        </w:rPr>
        <w:t xml:space="preserve">internal </w:t>
      </w:r>
      <w:r>
        <w:rPr>
          <w:rFonts w:cs="Arial"/>
          <w:szCs w:val="24"/>
        </w:rPr>
        <w:t>marking and moderation processes</w:t>
      </w:r>
      <w:r w:rsidR="000616C4">
        <w:rPr>
          <w:rFonts w:cs="Arial"/>
          <w:szCs w:val="24"/>
        </w:rPr>
        <w:t>, including</w:t>
      </w:r>
      <w:r w:rsidR="004E5396">
        <w:rPr>
          <w:rFonts w:cs="Arial"/>
          <w:szCs w:val="24"/>
        </w:rPr>
        <w:t xml:space="preserve"> the </w:t>
      </w:r>
      <w:r w:rsidR="0059699E">
        <w:rPr>
          <w:rFonts w:cs="Arial"/>
          <w:szCs w:val="24"/>
        </w:rPr>
        <w:t>documentation</w:t>
      </w:r>
      <w:r w:rsidR="004E5396">
        <w:rPr>
          <w:rFonts w:cs="Arial"/>
          <w:szCs w:val="24"/>
        </w:rPr>
        <w:t xml:space="preserve"> </w:t>
      </w:r>
      <w:r w:rsidR="00A838E6">
        <w:rPr>
          <w:rFonts w:cs="Arial"/>
          <w:szCs w:val="24"/>
        </w:rPr>
        <w:t>that Schools will</w:t>
      </w:r>
      <w:r w:rsidR="004E5396">
        <w:rPr>
          <w:rFonts w:cs="Arial"/>
          <w:szCs w:val="24"/>
        </w:rPr>
        <w:t xml:space="preserve"> ma</w:t>
      </w:r>
      <w:r w:rsidR="00A838E6">
        <w:rPr>
          <w:rFonts w:cs="Arial"/>
          <w:szCs w:val="24"/>
        </w:rPr>
        <w:t>k</w:t>
      </w:r>
      <w:r w:rsidR="004E5396">
        <w:rPr>
          <w:rFonts w:cs="Arial"/>
          <w:szCs w:val="24"/>
        </w:rPr>
        <w:t xml:space="preserve">e available to </w:t>
      </w:r>
      <w:r w:rsidR="006D5D33">
        <w:rPr>
          <w:rFonts w:cs="Arial"/>
          <w:szCs w:val="24"/>
        </w:rPr>
        <w:t xml:space="preserve">External </w:t>
      </w:r>
      <w:r w:rsidR="004E5396">
        <w:rPr>
          <w:rFonts w:cs="Arial"/>
          <w:szCs w:val="24"/>
        </w:rPr>
        <w:t>Examiners.</w:t>
      </w:r>
    </w:p>
    <w:p w14:paraId="642B9F10" w14:textId="6933FB50" w:rsidR="00072870" w:rsidRPr="001C49D7" w:rsidRDefault="00AD7599" w:rsidP="6447A6AC">
      <w:pPr>
        <w:pStyle w:val="ListParagraph"/>
        <w:numPr>
          <w:ilvl w:val="0"/>
          <w:numId w:val="16"/>
        </w:numPr>
        <w:autoSpaceDE w:val="0"/>
        <w:autoSpaceDN w:val="0"/>
        <w:adjustRightInd w:val="0"/>
        <w:rPr>
          <w:rFonts w:cs="Arial"/>
        </w:rPr>
      </w:pPr>
      <w:r w:rsidRPr="6447A6AC">
        <w:rPr>
          <w:rFonts w:cs="Arial"/>
        </w:rPr>
        <w:t xml:space="preserve">Appendix E </w:t>
      </w:r>
      <w:r w:rsidR="00072870" w:rsidRPr="6447A6AC">
        <w:rPr>
          <w:rFonts w:cs="Arial"/>
        </w:rPr>
        <w:t>sets out the minimum specification for information to be retained in modules boxes</w:t>
      </w:r>
      <w:r w:rsidR="0059699E" w:rsidRPr="6447A6AC">
        <w:rPr>
          <w:rFonts w:cs="Arial"/>
        </w:rPr>
        <w:t xml:space="preserve">, which are </w:t>
      </w:r>
      <w:r w:rsidR="00A70D97" w:rsidRPr="6447A6AC">
        <w:rPr>
          <w:rFonts w:cs="Arial"/>
        </w:rPr>
        <w:t xml:space="preserve">made </w:t>
      </w:r>
      <w:r w:rsidR="0059699E" w:rsidRPr="6447A6AC">
        <w:rPr>
          <w:rFonts w:cs="Arial"/>
        </w:rPr>
        <w:t xml:space="preserve">available to </w:t>
      </w:r>
      <w:r w:rsidR="006D5D33">
        <w:rPr>
          <w:rFonts w:cs="Arial"/>
        </w:rPr>
        <w:t xml:space="preserve">External </w:t>
      </w:r>
      <w:r w:rsidR="0059699E" w:rsidRPr="6447A6AC">
        <w:rPr>
          <w:rFonts w:cs="Arial"/>
        </w:rPr>
        <w:t xml:space="preserve">Examiners, normally through </w:t>
      </w:r>
      <w:r w:rsidR="00006C43">
        <w:rPr>
          <w:rFonts w:cs="Arial"/>
        </w:rPr>
        <w:t>the relevant VLE</w:t>
      </w:r>
      <w:r w:rsidR="00AD606A" w:rsidRPr="6447A6AC">
        <w:rPr>
          <w:rFonts w:cs="Arial"/>
        </w:rPr>
        <w:t>.</w:t>
      </w:r>
    </w:p>
    <w:p w14:paraId="15AA8241" w14:textId="1AF7EF29" w:rsidR="008C7D52" w:rsidRDefault="00072870" w:rsidP="3850321A">
      <w:pPr>
        <w:pStyle w:val="ListParagraph"/>
        <w:numPr>
          <w:ilvl w:val="0"/>
          <w:numId w:val="16"/>
        </w:numPr>
        <w:autoSpaceDE w:val="0"/>
        <w:autoSpaceDN w:val="0"/>
        <w:adjustRightInd w:val="0"/>
        <w:rPr>
          <w:rFonts w:cs="Arial"/>
        </w:rPr>
      </w:pPr>
      <w:r w:rsidRPr="3850321A">
        <w:rPr>
          <w:rFonts w:cs="Arial"/>
        </w:rPr>
        <w:t>Appendix F provide</w:t>
      </w:r>
      <w:r w:rsidR="00AE5B67" w:rsidRPr="3850321A">
        <w:rPr>
          <w:rFonts w:cs="Arial"/>
        </w:rPr>
        <w:t>s</w:t>
      </w:r>
      <w:r w:rsidRPr="3850321A">
        <w:rPr>
          <w:rFonts w:cs="Arial"/>
        </w:rPr>
        <w:t xml:space="preserve"> a checklist </w:t>
      </w:r>
      <w:r w:rsidR="00AE5B67" w:rsidRPr="3850321A">
        <w:rPr>
          <w:rFonts w:cs="Arial"/>
        </w:rPr>
        <w:t xml:space="preserve">of the information an </w:t>
      </w:r>
      <w:r w:rsidR="006D5D33">
        <w:rPr>
          <w:rFonts w:cs="Arial"/>
        </w:rPr>
        <w:t xml:space="preserve">External </w:t>
      </w:r>
      <w:r w:rsidR="00AE5B67" w:rsidRPr="3850321A">
        <w:rPr>
          <w:rFonts w:cs="Arial"/>
        </w:rPr>
        <w:t>Examiner will have access to for each module/award</w:t>
      </w:r>
      <w:r w:rsidR="00C55725" w:rsidRPr="3850321A">
        <w:rPr>
          <w:rFonts w:cs="Arial"/>
        </w:rPr>
        <w:t xml:space="preserve"> they are responsible for</w:t>
      </w:r>
      <w:r w:rsidR="001C49D7" w:rsidRPr="3850321A">
        <w:rPr>
          <w:rFonts w:cs="Arial"/>
        </w:rPr>
        <w:t>, including sample sizes.</w:t>
      </w:r>
    </w:p>
    <w:p w14:paraId="349EB064" w14:textId="0C2BB67B" w:rsidR="00F70968" w:rsidRDefault="00F70968" w:rsidP="3850321A">
      <w:pPr>
        <w:pStyle w:val="ListParagraph"/>
        <w:numPr>
          <w:ilvl w:val="0"/>
          <w:numId w:val="16"/>
        </w:numPr>
        <w:autoSpaceDE w:val="0"/>
        <w:autoSpaceDN w:val="0"/>
        <w:adjustRightInd w:val="0"/>
        <w:rPr>
          <w:rFonts w:cs="Arial"/>
        </w:rPr>
      </w:pPr>
      <w:r>
        <w:rPr>
          <w:rFonts w:cs="Arial"/>
        </w:rPr>
        <w:t xml:space="preserve">Annex 1 provides details for the arrangement for </w:t>
      </w:r>
      <w:r w:rsidR="00D41927">
        <w:rPr>
          <w:rFonts w:cs="Arial"/>
        </w:rPr>
        <w:t xml:space="preserve">Apprenticeship </w:t>
      </w:r>
      <w:r>
        <w:rPr>
          <w:rFonts w:cs="Arial"/>
        </w:rPr>
        <w:t>End-Point Assessments.</w:t>
      </w:r>
    </w:p>
    <w:p w14:paraId="1F8E7A04" w14:textId="77777777" w:rsidR="000E3FA5" w:rsidRPr="000E3FA5" w:rsidRDefault="000E3FA5" w:rsidP="000E3FA5">
      <w:pPr>
        <w:autoSpaceDE w:val="0"/>
        <w:autoSpaceDN w:val="0"/>
        <w:adjustRightInd w:val="0"/>
        <w:rPr>
          <w:rFonts w:cs="Arial"/>
        </w:rPr>
      </w:pPr>
    </w:p>
    <w:p w14:paraId="5CF29292" w14:textId="4964ACFA" w:rsidR="008951AC" w:rsidRPr="00280887" w:rsidRDefault="00824B3C" w:rsidP="007D7119">
      <w:pPr>
        <w:autoSpaceDE w:val="0"/>
        <w:autoSpaceDN w:val="0"/>
        <w:adjustRightInd w:val="0"/>
        <w:ind w:left="900"/>
        <w:rPr>
          <w:rFonts w:cs="Arial"/>
        </w:rPr>
      </w:pPr>
      <w:r>
        <w:rPr>
          <w:rFonts w:cs="Arial"/>
        </w:rPr>
        <w:t>W</w:t>
      </w:r>
      <w:r w:rsidR="007256C6" w:rsidRPr="5E701C7A">
        <w:rPr>
          <w:rFonts w:cs="Arial"/>
        </w:rPr>
        <w:t>here pract</w:t>
      </w:r>
      <w:r w:rsidR="00E03834" w:rsidRPr="5E701C7A">
        <w:rPr>
          <w:rFonts w:cs="Arial"/>
        </w:rPr>
        <w:t xml:space="preserve">icable, Module Examiners will be asked to </w:t>
      </w:r>
      <w:r w:rsidR="007C70CD" w:rsidRPr="5E701C7A">
        <w:rPr>
          <w:rFonts w:cs="Arial"/>
        </w:rPr>
        <w:t xml:space="preserve">comment on summative </w:t>
      </w:r>
      <w:r w:rsidR="00937176" w:rsidRPr="5E701C7A">
        <w:rPr>
          <w:rFonts w:cs="Arial"/>
        </w:rPr>
        <w:t xml:space="preserve">first sit </w:t>
      </w:r>
      <w:r w:rsidR="0077541C" w:rsidRPr="5E701C7A">
        <w:rPr>
          <w:rFonts w:cs="Arial"/>
        </w:rPr>
        <w:t xml:space="preserve">assessment </w:t>
      </w:r>
      <w:r w:rsidR="00937176" w:rsidRPr="5E701C7A">
        <w:rPr>
          <w:rFonts w:cs="Arial"/>
        </w:rPr>
        <w:t>and re</w:t>
      </w:r>
      <w:r w:rsidR="007C70CD" w:rsidRPr="5E701C7A">
        <w:rPr>
          <w:rFonts w:cs="Arial"/>
        </w:rPr>
        <w:t>assessment proposals</w:t>
      </w:r>
      <w:r w:rsidR="007D5B1C" w:rsidRPr="5E701C7A">
        <w:rPr>
          <w:rFonts w:cs="Arial"/>
        </w:rPr>
        <w:t xml:space="preserve">. </w:t>
      </w:r>
      <w:r w:rsidR="006D1F49">
        <w:t xml:space="preserve">This applies to modules at all levels </w:t>
      </w:r>
      <w:r w:rsidR="00BB7C02">
        <w:t xml:space="preserve">except Level 3 modules and Level 4 modules forming an award of </w:t>
      </w:r>
      <w:r w:rsidR="00121D18">
        <w:t xml:space="preserve">less than </w:t>
      </w:r>
      <w:r w:rsidR="00BB7C02">
        <w:t xml:space="preserve">60 credits, where the agreed proposal is not </w:t>
      </w:r>
      <w:r w:rsidR="00670BE8">
        <w:t xml:space="preserve">normally </w:t>
      </w:r>
      <w:r w:rsidR="00BB7C02">
        <w:t>subject</w:t>
      </w:r>
      <w:r w:rsidR="00670BE8">
        <w:t xml:space="preserve"> </w:t>
      </w:r>
      <w:r w:rsidR="00BB7C02">
        <w:t>to Module External Examiner scrutiny</w:t>
      </w:r>
      <w:r w:rsidR="007D5B1C">
        <w:t>.</w:t>
      </w:r>
      <w:r w:rsidR="007D5B1C" w:rsidRPr="5E701C7A">
        <w:rPr>
          <w:rFonts w:cs="Arial"/>
        </w:rPr>
        <w:t xml:space="preserve"> </w:t>
      </w:r>
      <w:r w:rsidR="00373450" w:rsidRPr="5E701C7A">
        <w:rPr>
          <w:rFonts w:cs="Arial"/>
        </w:rPr>
        <w:t xml:space="preserve">Where suggestions for amendment are provided by an External Examiner, Schools should reply to the </w:t>
      </w:r>
      <w:r w:rsidR="006D5D33">
        <w:rPr>
          <w:rFonts w:cs="Arial"/>
        </w:rPr>
        <w:t xml:space="preserve">External </w:t>
      </w:r>
      <w:r w:rsidR="00373450" w:rsidRPr="5E701C7A">
        <w:rPr>
          <w:rFonts w:cs="Arial"/>
        </w:rPr>
        <w:t>Examiner to confirm how their advice has been acted upon in a timely manner</w:t>
      </w:r>
      <w:r w:rsidR="007D5B1C" w:rsidRPr="5E701C7A">
        <w:rPr>
          <w:rFonts w:cs="Arial"/>
        </w:rPr>
        <w:t xml:space="preserve">. </w:t>
      </w:r>
      <w:r w:rsidR="00670BE8" w:rsidRPr="5E701C7A">
        <w:rPr>
          <w:rFonts w:cs="Arial"/>
        </w:rPr>
        <w:t xml:space="preserve">Further detail is available in Appendix A of the </w:t>
      </w:r>
      <w:hyperlink r:id="rId21">
        <w:r w:rsidR="00670BE8" w:rsidRPr="5E701C7A">
          <w:rPr>
            <w:rStyle w:val="Hyperlink"/>
            <w:rFonts w:cs="Arial"/>
            <w:b/>
            <w:bCs/>
          </w:rPr>
          <w:t>Assessment &amp; Feedback Policy</w:t>
        </w:r>
      </w:hyperlink>
      <w:r w:rsidR="00670BE8" w:rsidRPr="5E701C7A">
        <w:rPr>
          <w:rFonts w:cs="Arial"/>
        </w:rPr>
        <w:t>.</w:t>
      </w:r>
    </w:p>
    <w:p w14:paraId="00561921" w14:textId="1FD76F84" w:rsidR="004752FB" w:rsidRDefault="004752FB" w:rsidP="007D7119">
      <w:pPr>
        <w:ind w:left="900"/>
        <w:rPr>
          <w:szCs w:val="24"/>
        </w:rPr>
      </w:pPr>
    </w:p>
    <w:p w14:paraId="26DDDBEB" w14:textId="74549CF9" w:rsidR="001E7B9A" w:rsidRPr="00066096" w:rsidRDefault="001E7B9A" w:rsidP="007D7119">
      <w:pPr>
        <w:autoSpaceDE w:val="0"/>
        <w:autoSpaceDN w:val="0"/>
        <w:adjustRightInd w:val="0"/>
        <w:ind w:left="900"/>
        <w:rPr>
          <w:rFonts w:cs="Arial"/>
        </w:rPr>
      </w:pPr>
      <w:r w:rsidRPr="63DF70D2">
        <w:rPr>
          <w:rFonts w:cs="Arial"/>
        </w:rPr>
        <w:t xml:space="preserve">External Examiners are required to consider the consistency and accuracy of marking standards for </w:t>
      </w:r>
      <w:r w:rsidR="00C830B2" w:rsidRPr="63DF70D2">
        <w:rPr>
          <w:rFonts w:cs="Arial"/>
        </w:rPr>
        <w:t>courses</w:t>
      </w:r>
      <w:r w:rsidRPr="63DF70D2">
        <w:rPr>
          <w:rFonts w:cs="Arial"/>
        </w:rPr>
        <w:t>, through reviewing the marking within each module, and between modules of the same level.</w:t>
      </w:r>
    </w:p>
    <w:p w14:paraId="4EF74B8F" w14:textId="453ABF52" w:rsidR="001E7B9A" w:rsidRPr="00066096" w:rsidRDefault="001E7B9A" w:rsidP="007D7119">
      <w:pPr>
        <w:ind w:left="900"/>
        <w:rPr>
          <w:szCs w:val="24"/>
        </w:rPr>
      </w:pPr>
    </w:p>
    <w:p w14:paraId="771A6584" w14:textId="77777777" w:rsidR="006875C6" w:rsidRPr="00066096" w:rsidRDefault="006875C6" w:rsidP="007D7119">
      <w:pPr>
        <w:autoSpaceDE w:val="0"/>
        <w:autoSpaceDN w:val="0"/>
        <w:adjustRightInd w:val="0"/>
        <w:ind w:left="900"/>
        <w:rPr>
          <w:rFonts w:cs="Arial"/>
          <w:szCs w:val="24"/>
        </w:rPr>
      </w:pPr>
      <w:r w:rsidRPr="00066096">
        <w:rPr>
          <w:rFonts w:cs="Arial"/>
          <w:szCs w:val="24"/>
        </w:rPr>
        <w:t>External Examiners are not permitted to alter the mark of any individual student.</w:t>
      </w:r>
    </w:p>
    <w:p w14:paraId="3C006B1F" w14:textId="77777777" w:rsidR="006875C6" w:rsidRPr="00066096" w:rsidRDefault="006875C6" w:rsidP="006875C6">
      <w:pPr>
        <w:rPr>
          <w:szCs w:val="24"/>
        </w:rPr>
      </w:pPr>
    </w:p>
    <w:p w14:paraId="1C237A8B" w14:textId="397436AA" w:rsidR="00D73C56" w:rsidRPr="00066096" w:rsidRDefault="00D73C56" w:rsidP="007D7119">
      <w:pPr>
        <w:autoSpaceDE w:val="0"/>
        <w:autoSpaceDN w:val="0"/>
        <w:adjustRightInd w:val="0"/>
        <w:ind w:left="900"/>
        <w:rPr>
          <w:rFonts w:cs="Arial"/>
        </w:rPr>
      </w:pPr>
      <w:r w:rsidRPr="6447A6AC">
        <w:rPr>
          <w:rFonts w:cs="Arial"/>
        </w:rPr>
        <w:t xml:space="preserve">If an External Examiner does not agree with the marks awarded within a sample of </w:t>
      </w:r>
      <w:r w:rsidR="0003748A" w:rsidRPr="6447A6AC">
        <w:rPr>
          <w:rFonts w:cs="Arial"/>
        </w:rPr>
        <w:t>work,</w:t>
      </w:r>
      <w:r w:rsidRPr="6447A6AC">
        <w:rPr>
          <w:rFonts w:cs="Arial"/>
        </w:rPr>
        <w:t xml:space="preserve"> they</w:t>
      </w:r>
      <w:r w:rsidR="00AF678C" w:rsidRPr="6447A6AC">
        <w:rPr>
          <w:rFonts w:cs="Arial"/>
        </w:rPr>
        <w:t xml:space="preserve"> </w:t>
      </w:r>
      <w:r w:rsidR="00175E78">
        <w:rPr>
          <w:rFonts w:cs="Arial"/>
        </w:rPr>
        <w:t>can</w:t>
      </w:r>
      <w:r w:rsidR="00175E78" w:rsidRPr="6447A6AC">
        <w:rPr>
          <w:rFonts w:cs="Arial"/>
        </w:rPr>
        <w:t xml:space="preserve"> </w:t>
      </w:r>
      <w:r w:rsidRPr="6447A6AC">
        <w:rPr>
          <w:rFonts w:cs="Arial"/>
        </w:rPr>
        <w:t xml:space="preserve">propose a level of moderation (additional to that already undertaken via </w:t>
      </w:r>
      <w:r w:rsidR="0003748A" w:rsidRPr="6447A6AC">
        <w:rPr>
          <w:rFonts w:cs="Arial"/>
        </w:rPr>
        <w:t>the Assessment &amp; Feedback Policy</w:t>
      </w:r>
      <w:r w:rsidRPr="6447A6AC">
        <w:rPr>
          <w:rFonts w:cs="Arial"/>
        </w:rPr>
        <w:t>) or re-marking to be undertaken by the internal markers</w:t>
      </w:r>
      <w:r w:rsidR="007D5B1C" w:rsidRPr="6447A6AC">
        <w:rPr>
          <w:rFonts w:cs="Arial"/>
        </w:rPr>
        <w:t xml:space="preserve">. </w:t>
      </w:r>
      <w:r w:rsidRPr="6447A6AC">
        <w:rPr>
          <w:rFonts w:cs="Arial"/>
        </w:rPr>
        <w:t>T</w:t>
      </w:r>
      <w:r w:rsidR="00FB6527" w:rsidRPr="6447A6AC">
        <w:rPr>
          <w:rFonts w:cs="Arial"/>
        </w:rPr>
        <w:t>o ensure fairness, t</w:t>
      </w:r>
      <w:r w:rsidRPr="6447A6AC">
        <w:rPr>
          <w:rFonts w:cs="Arial"/>
        </w:rPr>
        <w:t>his must apply to all students</w:t>
      </w:r>
      <w:r w:rsidR="00AF678C" w:rsidRPr="6447A6AC">
        <w:rPr>
          <w:rFonts w:cs="Arial"/>
        </w:rPr>
        <w:t xml:space="preserve"> </w:t>
      </w:r>
      <w:r w:rsidRPr="6447A6AC">
        <w:rPr>
          <w:rFonts w:cs="Arial"/>
        </w:rPr>
        <w:t>who have undertaken the assessment.</w:t>
      </w:r>
    </w:p>
    <w:p w14:paraId="467255C8" w14:textId="77777777" w:rsidR="00AF678C" w:rsidRPr="00066096" w:rsidRDefault="00AF678C" w:rsidP="007D7119">
      <w:pPr>
        <w:autoSpaceDE w:val="0"/>
        <w:autoSpaceDN w:val="0"/>
        <w:adjustRightInd w:val="0"/>
        <w:ind w:left="900"/>
        <w:rPr>
          <w:rFonts w:cs="Arial"/>
          <w:szCs w:val="24"/>
        </w:rPr>
      </w:pPr>
    </w:p>
    <w:p w14:paraId="789405DC" w14:textId="4DF296CB" w:rsidR="00D73C56" w:rsidRPr="00BB1DB9" w:rsidRDefault="00D73C56" w:rsidP="007D7119">
      <w:pPr>
        <w:autoSpaceDE w:val="0"/>
        <w:autoSpaceDN w:val="0"/>
        <w:adjustRightInd w:val="0"/>
        <w:ind w:left="900"/>
        <w:rPr>
          <w:rFonts w:cs="Arial"/>
          <w:szCs w:val="24"/>
        </w:rPr>
      </w:pPr>
      <w:r w:rsidRPr="00066096">
        <w:rPr>
          <w:rFonts w:cs="Arial"/>
          <w:szCs w:val="24"/>
        </w:rPr>
        <w:t>External Examiners should not normally be expected to adjudicate between internal markers</w:t>
      </w:r>
      <w:r w:rsidR="007D5B1C" w:rsidRPr="00066096">
        <w:rPr>
          <w:rFonts w:cs="Arial"/>
          <w:szCs w:val="24"/>
        </w:rPr>
        <w:t xml:space="preserve">. </w:t>
      </w:r>
      <w:r w:rsidR="002A09D1" w:rsidRPr="00066096">
        <w:rPr>
          <w:rFonts w:cs="Arial"/>
          <w:szCs w:val="24"/>
        </w:rPr>
        <w:t>Differences</w:t>
      </w:r>
      <w:r w:rsidRPr="00066096">
        <w:rPr>
          <w:rFonts w:cs="Arial"/>
          <w:szCs w:val="24"/>
        </w:rPr>
        <w:t xml:space="preserve"> between internal markers </w:t>
      </w:r>
      <w:r w:rsidR="00DA7299" w:rsidRPr="00066096">
        <w:rPr>
          <w:rFonts w:cs="Arial"/>
          <w:szCs w:val="24"/>
        </w:rPr>
        <w:t>will</w:t>
      </w:r>
      <w:r w:rsidRPr="00066096">
        <w:rPr>
          <w:rFonts w:cs="Arial"/>
          <w:szCs w:val="24"/>
        </w:rPr>
        <w:t xml:space="preserve"> be resolved before a sample of work is seen</w:t>
      </w:r>
      <w:r w:rsidR="00AF678C" w:rsidRPr="00066096">
        <w:rPr>
          <w:rFonts w:cs="Arial"/>
          <w:szCs w:val="24"/>
        </w:rPr>
        <w:t xml:space="preserve"> </w:t>
      </w:r>
      <w:r w:rsidRPr="00066096">
        <w:rPr>
          <w:rFonts w:cs="Arial"/>
          <w:szCs w:val="24"/>
        </w:rPr>
        <w:t>by the External Examiner</w:t>
      </w:r>
      <w:r w:rsidR="007D5B1C" w:rsidRPr="00066096">
        <w:rPr>
          <w:rFonts w:cs="Arial"/>
          <w:szCs w:val="24"/>
        </w:rPr>
        <w:t>.</w:t>
      </w:r>
      <w:r w:rsidR="007D5B1C">
        <w:rPr>
          <w:rFonts w:cs="Arial"/>
          <w:szCs w:val="24"/>
        </w:rPr>
        <w:t xml:space="preserve"> </w:t>
      </w:r>
      <w:r w:rsidRPr="00066096">
        <w:rPr>
          <w:rFonts w:cs="Arial"/>
          <w:szCs w:val="24"/>
        </w:rPr>
        <w:t xml:space="preserve">This </w:t>
      </w:r>
      <w:r w:rsidR="00175E78">
        <w:rPr>
          <w:rFonts w:cs="Arial"/>
          <w:szCs w:val="24"/>
        </w:rPr>
        <w:t>could</w:t>
      </w:r>
      <w:r w:rsidR="00175E78" w:rsidRPr="00066096">
        <w:rPr>
          <w:rFonts w:cs="Arial"/>
          <w:szCs w:val="24"/>
        </w:rPr>
        <w:t xml:space="preserve"> </w:t>
      </w:r>
      <w:r w:rsidRPr="00066096">
        <w:rPr>
          <w:rFonts w:cs="Arial"/>
          <w:szCs w:val="24"/>
        </w:rPr>
        <w:t xml:space="preserve">be </w:t>
      </w:r>
      <w:r w:rsidR="00D41927" w:rsidRPr="00066096">
        <w:rPr>
          <w:rFonts w:cs="Arial"/>
          <w:szCs w:val="24"/>
        </w:rPr>
        <w:t>by</w:t>
      </w:r>
      <w:r w:rsidRPr="00066096">
        <w:rPr>
          <w:rFonts w:cs="Arial"/>
          <w:szCs w:val="24"/>
        </w:rPr>
        <w:t xml:space="preserve"> a third marker, or consultation with</w:t>
      </w:r>
      <w:r w:rsidR="00AF678C" w:rsidRPr="00066096">
        <w:rPr>
          <w:rFonts w:cs="Arial"/>
          <w:szCs w:val="24"/>
        </w:rPr>
        <w:t xml:space="preserve"> </w:t>
      </w:r>
      <w:r w:rsidRPr="00066096">
        <w:rPr>
          <w:rFonts w:cs="Arial"/>
          <w:szCs w:val="24"/>
        </w:rPr>
        <w:t>senior colleagues within the School</w:t>
      </w:r>
      <w:r w:rsidR="007D5B1C" w:rsidRPr="00066096">
        <w:rPr>
          <w:rFonts w:cs="Arial"/>
          <w:szCs w:val="24"/>
        </w:rPr>
        <w:t xml:space="preserve">. </w:t>
      </w:r>
      <w:r w:rsidRPr="00066096">
        <w:rPr>
          <w:rFonts w:cs="Arial"/>
          <w:szCs w:val="24"/>
        </w:rPr>
        <w:t>In all cases it should be transparent to the External</w:t>
      </w:r>
      <w:r w:rsidR="00AF678C" w:rsidRPr="00066096">
        <w:rPr>
          <w:rFonts w:cs="Arial"/>
          <w:szCs w:val="24"/>
        </w:rPr>
        <w:t xml:space="preserve"> </w:t>
      </w:r>
      <w:r w:rsidRPr="00066096">
        <w:rPr>
          <w:rFonts w:cs="Arial"/>
          <w:szCs w:val="24"/>
        </w:rPr>
        <w:t>Examiner how the final mark was decided</w:t>
      </w:r>
      <w:r w:rsidR="007D5B1C" w:rsidRPr="00066096">
        <w:rPr>
          <w:rFonts w:cs="Arial"/>
          <w:szCs w:val="24"/>
        </w:rPr>
        <w:t xml:space="preserve">. </w:t>
      </w:r>
      <w:r w:rsidRPr="00066096">
        <w:rPr>
          <w:rFonts w:cs="Arial"/>
          <w:szCs w:val="24"/>
        </w:rPr>
        <w:t>If, in exceptional cases, a mark has not been</w:t>
      </w:r>
      <w:r w:rsidR="00AF678C" w:rsidRPr="00066096">
        <w:rPr>
          <w:rFonts w:cs="Arial"/>
          <w:szCs w:val="24"/>
        </w:rPr>
        <w:t xml:space="preserve"> </w:t>
      </w:r>
      <w:r w:rsidRPr="00066096">
        <w:rPr>
          <w:rFonts w:cs="Arial"/>
          <w:szCs w:val="24"/>
        </w:rPr>
        <w:t xml:space="preserve">agreed internally, the views of the External Examiner can be </w:t>
      </w:r>
      <w:r w:rsidR="00E34D8D" w:rsidRPr="00066096">
        <w:rPr>
          <w:rFonts w:cs="Arial"/>
          <w:szCs w:val="24"/>
        </w:rPr>
        <w:t>considered</w:t>
      </w:r>
      <w:r w:rsidRPr="00066096">
        <w:rPr>
          <w:rFonts w:cs="Arial"/>
          <w:szCs w:val="24"/>
        </w:rPr>
        <w:t xml:space="preserve"> in</w:t>
      </w:r>
      <w:r w:rsidR="00AF678C" w:rsidRPr="00066096">
        <w:rPr>
          <w:rFonts w:cs="Arial"/>
          <w:szCs w:val="24"/>
        </w:rPr>
        <w:t xml:space="preserve"> </w:t>
      </w:r>
      <w:r w:rsidRPr="00066096">
        <w:rPr>
          <w:rFonts w:cs="Arial"/>
          <w:szCs w:val="24"/>
        </w:rPr>
        <w:t>determining the final mark.</w:t>
      </w:r>
    </w:p>
    <w:p w14:paraId="7DF9114C" w14:textId="7BD5FAAC" w:rsidR="00D73C56" w:rsidRDefault="00D73C56" w:rsidP="00002240">
      <w:pPr>
        <w:ind w:left="851" w:hanging="851"/>
        <w:rPr>
          <w:szCs w:val="24"/>
        </w:rPr>
      </w:pPr>
    </w:p>
    <w:p w14:paraId="218C0507" w14:textId="6B08192D" w:rsidR="008951AC" w:rsidRPr="007D7119" w:rsidRDefault="00F12CB3" w:rsidP="007D7119">
      <w:pPr>
        <w:pStyle w:val="Heading2"/>
      </w:pPr>
      <w:bookmarkStart w:id="10" w:name="_Toc134519916"/>
      <w:r w:rsidRPr="007D7119">
        <w:t>4.3</w:t>
      </w:r>
      <w:r w:rsidRPr="007D7119">
        <w:tab/>
      </w:r>
      <w:r w:rsidR="008951AC" w:rsidRPr="007D7119">
        <w:t>Assessment</w:t>
      </w:r>
      <w:r w:rsidR="000F5CD1" w:rsidRPr="007D7119">
        <w:t xml:space="preserve"> </w:t>
      </w:r>
      <w:r w:rsidR="00A87598" w:rsidRPr="007D7119">
        <w:t xml:space="preserve">and </w:t>
      </w:r>
      <w:r w:rsidR="000F5CD1" w:rsidRPr="007D7119">
        <w:t>Re</w:t>
      </w:r>
      <w:r w:rsidR="00A87598" w:rsidRPr="007D7119">
        <w:t>a</w:t>
      </w:r>
      <w:r w:rsidR="000F5CD1" w:rsidRPr="007D7119">
        <w:t>ssessment Boards</w:t>
      </w:r>
      <w:bookmarkEnd w:id="10"/>
    </w:p>
    <w:p w14:paraId="51A9503A" w14:textId="192CBF0C" w:rsidR="00DC2335" w:rsidRDefault="00DC2335" w:rsidP="00002240">
      <w:pPr>
        <w:ind w:left="851" w:hanging="851"/>
        <w:rPr>
          <w:szCs w:val="24"/>
        </w:rPr>
      </w:pPr>
    </w:p>
    <w:p w14:paraId="3DE68580" w14:textId="1BD388BA" w:rsidR="003C1CC0" w:rsidRDefault="007E56DD" w:rsidP="007D7119">
      <w:pPr>
        <w:ind w:left="900"/>
      </w:pPr>
      <w:r>
        <w:t xml:space="preserve">Schools will inform </w:t>
      </w:r>
      <w:r w:rsidR="00906A61">
        <w:t xml:space="preserve">External Examiners </w:t>
      </w:r>
      <w:r>
        <w:t xml:space="preserve">of the dates </w:t>
      </w:r>
      <w:r w:rsidR="00F3467E">
        <w:t xml:space="preserve">and times </w:t>
      </w:r>
      <w:r>
        <w:t xml:space="preserve">of the </w:t>
      </w:r>
      <w:r w:rsidR="00246A0F">
        <w:t>Module</w:t>
      </w:r>
      <w:r w:rsidR="000E3FA5">
        <w:t xml:space="preserve">, </w:t>
      </w:r>
      <w:r w:rsidR="00246A0F">
        <w:t>Progression</w:t>
      </w:r>
      <w:r w:rsidR="00507719">
        <w:t>/</w:t>
      </w:r>
      <w:r w:rsidR="00246A0F">
        <w:t xml:space="preserve">Award </w:t>
      </w:r>
      <w:r>
        <w:t>Assessment Board</w:t>
      </w:r>
      <w:r w:rsidR="00BA57A2">
        <w:t>(s)</w:t>
      </w:r>
      <w:r w:rsidR="007D5B1C">
        <w:t xml:space="preserve">. </w:t>
      </w:r>
      <w:r w:rsidR="00BE6922">
        <w:rPr>
          <w:szCs w:val="24"/>
        </w:rPr>
        <w:t>AIW External Examiners are not required to attend Assessment Boards.</w:t>
      </w:r>
    </w:p>
    <w:p w14:paraId="0FD71692" w14:textId="77777777" w:rsidR="00943D8D" w:rsidRDefault="00943D8D" w:rsidP="007D7119">
      <w:pPr>
        <w:ind w:left="900"/>
      </w:pPr>
    </w:p>
    <w:p w14:paraId="101B9AC6" w14:textId="5A66932E" w:rsidR="00943D8D" w:rsidRDefault="00943D8D" w:rsidP="007D7119">
      <w:pPr>
        <w:ind w:left="900"/>
      </w:pPr>
      <w:r w:rsidRPr="5F6E5F42">
        <w:lastRenderedPageBreak/>
        <w:t xml:space="preserve">In some </w:t>
      </w:r>
      <w:r w:rsidRPr="00C36875">
        <w:t xml:space="preserve">instances, it </w:t>
      </w:r>
      <w:r w:rsidRPr="00580DB2">
        <w:t>is mandatory</w:t>
      </w:r>
      <w:r w:rsidRPr="5F6E5F42">
        <w:t xml:space="preserve"> that </w:t>
      </w:r>
      <w:r w:rsidR="000E3FA5">
        <w:t xml:space="preserve">Module/Award </w:t>
      </w:r>
      <w:r w:rsidRPr="5F6E5F42">
        <w:t>External Examiners attend Assessment</w:t>
      </w:r>
      <w:r>
        <w:t xml:space="preserve">/Reassessment </w:t>
      </w:r>
      <w:r w:rsidRPr="5F6E5F42">
        <w:t>Board</w:t>
      </w:r>
      <w:r>
        <w:t>(</w:t>
      </w:r>
      <w:r w:rsidRPr="5F6E5F42">
        <w:t>s</w:t>
      </w:r>
      <w:r>
        <w:t xml:space="preserve">), such as </w:t>
      </w:r>
      <w:r w:rsidRPr="5F6E5F42">
        <w:t>where Apprenticeship End Point Assessment outcomes are being considered</w:t>
      </w:r>
      <w:r w:rsidR="007D5B1C" w:rsidRPr="5F6E5F42">
        <w:t>.</w:t>
      </w:r>
      <w:r w:rsidR="007D5B1C" w:rsidRPr="6447A6AC">
        <w:t xml:space="preserve"> </w:t>
      </w:r>
      <w:r w:rsidRPr="6447A6AC">
        <w:t xml:space="preserve">Such </w:t>
      </w:r>
      <w:r>
        <w:rPr>
          <w:rStyle w:val="normaltextrun"/>
          <w:rFonts w:cs="Arial"/>
          <w:color w:val="000000"/>
          <w:bdr w:val="none" w:sz="0" w:space="0" w:color="auto" w:frame="1"/>
        </w:rPr>
        <w:t>Assessment Boards may not be able to take place if the External Examiner is absent.</w:t>
      </w:r>
    </w:p>
    <w:p w14:paraId="6B161BA9" w14:textId="77777777" w:rsidR="00C751AB" w:rsidRDefault="00C751AB" w:rsidP="00C751AB">
      <w:pPr>
        <w:rPr>
          <w:szCs w:val="24"/>
        </w:rPr>
      </w:pPr>
    </w:p>
    <w:p w14:paraId="517517C9" w14:textId="1C6F0679" w:rsidR="00783C99" w:rsidRDefault="00C751AB" w:rsidP="007D7119">
      <w:pPr>
        <w:ind w:left="900"/>
      </w:pPr>
      <w:r>
        <w:t xml:space="preserve">External Examiners </w:t>
      </w:r>
      <w:r w:rsidR="009D58B3">
        <w:t>are full members of Assessment Board(s)</w:t>
      </w:r>
      <w:r w:rsidR="00BF4295">
        <w:t xml:space="preserve"> and </w:t>
      </w:r>
      <w:r w:rsidR="002D34EE">
        <w:t>should</w:t>
      </w:r>
      <w:r w:rsidR="002E78E9">
        <w:t xml:space="preserve"> make all reasonable</w:t>
      </w:r>
      <w:r w:rsidR="00157126">
        <w:t xml:space="preserve"> arrangements to</w:t>
      </w:r>
      <w:r w:rsidR="00BF4295">
        <w:t xml:space="preserve"> attend</w:t>
      </w:r>
      <w:r w:rsidR="00BC2717">
        <w:t xml:space="preserve"> [face to face or via online means]</w:t>
      </w:r>
      <w:r w:rsidR="00BF4295">
        <w:t xml:space="preserve"> all relevant meetings relating to </w:t>
      </w:r>
      <w:r w:rsidR="00023A77">
        <w:t>the provision to which they are appointed</w:t>
      </w:r>
      <w:r w:rsidR="007D5B1C">
        <w:t xml:space="preserve">. </w:t>
      </w:r>
    </w:p>
    <w:p w14:paraId="03F37579" w14:textId="77777777" w:rsidR="00AF03F6" w:rsidRDefault="00AF03F6" w:rsidP="007D7119">
      <w:pPr>
        <w:ind w:left="900"/>
        <w:rPr>
          <w:szCs w:val="24"/>
        </w:rPr>
      </w:pPr>
    </w:p>
    <w:p w14:paraId="681D0D90" w14:textId="5367CCCF" w:rsidR="00CB5BE8" w:rsidRDefault="008F4261" w:rsidP="007D7119">
      <w:pPr>
        <w:ind w:left="900"/>
      </w:pPr>
      <w:r>
        <w:t>Where</w:t>
      </w:r>
      <w:r w:rsidR="00766977">
        <w:t>, in exceptional ci</w:t>
      </w:r>
      <w:r w:rsidR="005D3EFA">
        <w:t>rcumstances,</w:t>
      </w:r>
      <w:r>
        <w:t xml:space="preserve"> a</w:t>
      </w:r>
      <w:r w:rsidR="000E3FA5">
        <w:t xml:space="preserve"> Module/Award</w:t>
      </w:r>
      <w:r>
        <w:t xml:space="preserve"> </w:t>
      </w:r>
      <w:r w:rsidR="00D10F87">
        <w:t xml:space="preserve">External </w:t>
      </w:r>
      <w:r>
        <w:t xml:space="preserve">Examiner is unable to be present at </w:t>
      </w:r>
      <w:r w:rsidR="00F241FD">
        <w:t>a</w:t>
      </w:r>
      <w:r>
        <w:t xml:space="preserve"> </w:t>
      </w:r>
      <w:r w:rsidR="006155D4">
        <w:t xml:space="preserve">non-apprenticeship </w:t>
      </w:r>
      <w:r w:rsidR="0045427E">
        <w:t xml:space="preserve">Assessment </w:t>
      </w:r>
      <w:r>
        <w:t>or Reassessment</w:t>
      </w:r>
      <w:r w:rsidR="0045427E">
        <w:t xml:space="preserve"> </w:t>
      </w:r>
      <w:r>
        <w:t>Board</w:t>
      </w:r>
      <w:r w:rsidR="00315CCE">
        <w:t>,</w:t>
      </w:r>
      <w:r>
        <w:t xml:space="preserve"> this should be agreed in advance with the relevant School</w:t>
      </w:r>
      <w:r w:rsidR="00315CCE">
        <w:t xml:space="preserve"> at the earliest opportunity</w:t>
      </w:r>
      <w:r w:rsidR="007D5B1C">
        <w:t xml:space="preserve">. </w:t>
      </w:r>
      <w:r>
        <w:t xml:space="preserve">A mechanism </w:t>
      </w:r>
      <w:r w:rsidR="008313F5">
        <w:t>will</w:t>
      </w:r>
      <w:r>
        <w:t xml:space="preserve"> be put into place </w:t>
      </w:r>
      <w:r w:rsidR="00315CCE">
        <w:t>for</w:t>
      </w:r>
      <w:r w:rsidR="00437188">
        <w:t xml:space="preserve"> Schools</w:t>
      </w:r>
      <w:r>
        <w:t xml:space="preserve"> </w:t>
      </w:r>
      <w:r w:rsidR="000A7627">
        <w:t xml:space="preserve">to </w:t>
      </w:r>
      <w:r>
        <w:t xml:space="preserve">obtain the External Examiner’s </w:t>
      </w:r>
      <w:r w:rsidR="00450C48">
        <w:t xml:space="preserve">written </w:t>
      </w:r>
      <w:r w:rsidR="003A6B64">
        <w:t>comments</w:t>
      </w:r>
      <w:r w:rsidR="00DF278B">
        <w:t>/report</w:t>
      </w:r>
      <w:r w:rsidR="003A6B64">
        <w:t xml:space="preserve"> </w:t>
      </w:r>
      <w:r w:rsidR="00876DDF">
        <w:t xml:space="preserve">ahead of the Assessment Board(s) </w:t>
      </w:r>
      <w:r w:rsidR="003A6B64">
        <w:t xml:space="preserve">and </w:t>
      </w:r>
      <w:r>
        <w:t>Endorsement of Assessment</w:t>
      </w:r>
      <w:r w:rsidR="006337E4">
        <w:t xml:space="preserve"> Process </w:t>
      </w:r>
      <w:r w:rsidR="004A29E4">
        <w:t>form</w:t>
      </w:r>
      <w:r w:rsidR="00876DDF">
        <w:t>.</w:t>
      </w:r>
    </w:p>
    <w:p w14:paraId="6F5BC715" w14:textId="77777777" w:rsidR="00555AB1" w:rsidRDefault="00555AB1" w:rsidP="007D7119">
      <w:pPr>
        <w:ind w:left="900"/>
      </w:pPr>
    </w:p>
    <w:p w14:paraId="0015069C" w14:textId="25C012B6" w:rsidR="00555AB1" w:rsidRPr="00555AB1" w:rsidRDefault="00BE6922" w:rsidP="007D7119">
      <w:pPr>
        <w:ind w:left="900"/>
        <w:rPr>
          <w:szCs w:val="24"/>
        </w:rPr>
      </w:pPr>
      <w:r>
        <w:rPr>
          <w:szCs w:val="24"/>
        </w:rPr>
        <w:t xml:space="preserve">Module/Award </w:t>
      </w:r>
      <w:r w:rsidR="00BD45BB">
        <w:rPr>
          <w:szCs w:val="24"/>
        </w:rPr>
        <w:t xml:space="preserve">External </w:t>
      </w:r>
      <w:r w:rsidR="00555AB1">
        <w:rPr>
          <w:szCs w:val="24"/>
        </w:rPr>
        <w:t xml:space="preserve">Examiners attend Module and/or Progression/Award Assessment Boards to scrutinise and endorse the outcomes of the assessment process to which they have been appointed, confirming the results at module and/or the decisions taken at course level as appropriate. </w:t>
      </w:r>
    </w:p>
    <w:p w14:paraId="7E6845F4" w14:textId="77777777" w:rsidR="004E047B" w:rsidRDefault="004E047B" w:rsidP="007D7119">
      <w:pPr>
        <w:ind w:left="900"/>
        <w:rPr>
          <w:szCs w:val="24"/>
        </w:rPr>
      </w:pPr>
    </w:p>
    <w:p w14:paraId="0150915D" w14:textId="233758C9" w:rsidR="004E047B" w:rsidRPr="0051377B" w:rsidRDefault="004E047B" w:rsidP="007D7119">
      <w:pPr>
        <w:ind w:left="900"/>
        <w:rPr>
          <w:b/>
          <w:bCs/>
          <w:szCs w:val="24"/>
        </w:rPr>
      </w:pPr>
      <w:r>
        <w:rPr>
          <w:szCs w:val="24"/>
        </w:rPr>
        <w:t>E</w:t>
      </w:r>
      <w:r w:rsidR="00EF3DA7">
        <w:rPr>
          <w:szCs w:val="24"/>
        </w:rPr>
        <w:t>xternal Examiner e</w:t>
      </w:r>
      <w:r>
        <w:rPr>
          <w:szCs w:val="24"/>
        </w:rPr>
        <w:t xml:space="preserve">ndorsement of the assessment process is achieved </w:t>
      </w:r>
      <w:r w:rsidR="002549C4">
        <w:rPr>
          <w:szCs w:val="24"/>
        </w:rPr>
        <w:t xml:space="preserve">either </w:t>
      </w:r>
      <w:r>
        <w:rPr>
          <w:szCs w:val="24"/>
        </w:rPr>
        <w:t xml:space="preserve">through the completion of the relevant form, available from the </w:t>
      </w:r>
      <w:hyperlink r:id="rId22" w:history="1">
        <w:r w:rsidRPr="00563646">
          <w:rPr>
            <w:rStyle w:val="Hyperlink"/>
            <w:b/>
            <w:bCs/>
            <w:color w:val="0070C0"/>
            <w:szCs w:val="24"/>
          </w:rPr>
          <w:t>External Examiners Handbook</w:t>
        </w:r>
        <w:r w:rsidR="00E05EE5" w:rsidRPr="0051377B">
          <w:rPr>
            <w:rStyle w:val="Hyperlink"/>
            <w:color w:val="0070C0"/>
            <w:szCs w:val="24"/>
          </w:rPr>
          <w:t xml:space="preserve"> </w:t>
        </w:r>
      </w:hyperlink>
      <w:r w:rsidR="002538ED" w:rsidRPr="0051377B">
        <w:rPr>
          <w:rStyle w:val="Hyperlink"/>
          <w:color w:val="auto"/>
          <w:szCs w:val="24"/>
        </w:rPr>
        <w:t xml:space="preserve">or via the submission of </w:t>
      </w:r>
      <w:r w:rsidR="000D6487">
        <w:rPr>
          <w:rStyle w:val="Hyperlink"/>
          <w:color w:val="auto"/>
          <w:szCs w:val="24"/>
        </w:rPr>
        <w:t>their endorsement in some other written format.</w:t>
      </w:r>
    </w:p>
    <w:p w14:paraId="7B037A87" w14:textId="77777777" w:rsidR="003C1CC0" w:rsidRDefault="003C1CC0" w:rsidP="004E047B">
      <w:pPr>
        <w:rPr>
          <w:szCs w:val="24"/>
        </w:rPr>
      </w:pPr>
    </w:p>
    <w:p w14:paraId="0867625F" w14:textId="5A513FDF" w:rsidR="00A11FC7" w:rsidRPr="00A11FC7" w:rsidRDefault="00A11FC7" w:rsidP="007D7119">
      <w:pPr>
        <w:pStyle w:val="CLQEBullets"/>
        <w:numPr>
          <w:ilvl w:val="0"/>
          <w:numId w:val="0"/>
        </w:numPr>
        <w:ind w:left="900" w:right="-46"/>
        <w:rPr>
          <w:rFonts w:cs="Arial"/>
          <w:sz w:val="24"/>
          <w:szCs w:val="24"/>
        </w:rPr>
      </w:pPr>
      <w:r w:rsidRPr="63DF70D2">
        <w:rPr>
          <w:rFonts w:cs="Arial"/>
          <w:sz w:val="24"/>
          <w:szCs w:val="24"/>
        </w:rPr>
        <w:t>In exceptional circumstances, an External Examiner may be unable to endorse the results of the Assessment Board(s)</w:t>
      </w:r>
      <w:r w:rsidR="007D5B1C" w:rsidRPr="63DF70D2">
        <w:rPr>
          <w:rFonts w:cs="Arial"/>
          <w:sz w:val="24"/>
          <w:szCs w:val="24"/>
        </w:rPr>
        <w:t xml:space="preserve">. </w:t>
      </w:r>
      <w:r w:rsidR="00F40259" w:rsidRPr="63DF70D2">
        <w:rPr>
          <w:rFonts w:cs="Arial"/>
          <w:sz w:val="24"/>
          <w:szCs w:val="24"/>
        </w:rPr>
        <w:t>W</w:t>
      </w:r>
      <w:r w:rsidRPr="63DF70D2">
        <w:rPr>
          <w:rFonts w:cs="Arial"/>
          <w:sz w:val="24"/>
          <w:szCs w:val="24"/>
        </w:rPr>
        <w:t xml:space="preserve">here the matter cannot be resolved by the Board, the Chair of the Board must notify </w:t>
      </w:r>
      <w:r w:rsidR="00842F20" w:rsidRPr="63DF70D2">
        <w:rPr>
          <w:rFonts w:cs="Arial"/>
          <w:sz w:val="24"/>
          <w:szCs w:val="24"/>
        </w:rPr>
        <w:t>SLAR</w:t>
      </w:r>
      <w:r w:rsidR="007D5B1C" w:rsidRPr="63DF70D2">
        <w:rPr>
          <w:rFonts w:cs="Arial"/>
          <w:sz w:val="24"/>
          <w:szCs w:val="24"/>
        </w:rPr>
        <w:t xml:space="preserve">. </w:t>
      </w:r>
      <w:r w:rsidRPr="63DF70D2">
        <w:rPr>
          <w:rFonts w:cs="Arial"/>
          <w:sz w:val="24"/>
          <w:szCs w:val="24"/>
        </w:rPr>
        <w:t>The S</w:t>
      </w:r>
      <w:r w:rsidR="00842F20" w:rsidRPr="63DF70D2">
        <w:rPr>
          <w:rFonts w:cs="Arial"/>
          <w:sz w:val="24"/>
          <w:szCs w:val="24"/>
        </w:rPr>
        <w:t xml:space="preserve">LAR </w:t>
      </w:r>
      <w:r w:rsidRPr="63DF70D2">
        <w:rPr>
          <w:rFonts w:cs="Arial"/>
          <w:sz w:val="24"/>
          <w:szCs w:val="24"/>
        </w:rPr>
        <w:t xml:space="preserve">will consider the circumstances and, in consultation with the School and the </w:t>
      </w:r>
      <w:r w:rsidR="00BD45BB">
        <w:rPr>
          <w:rFonts w:cs="Arial"/>
          <w:sz w:val="24"/>
          <w:szCs w:val="24"/>
        </w:rPr>
        <w:t xml:space="preserve">External </w:t>
      </w:r>
      <w:r w:rsidRPr="63DF70D2">
        <w:rPr>
          <w:rFonts w:cs="Arial"/>
          <w:sz w:val="24"/>
          <w:szCs w:val="24"/>
        </w:rPr>
        <w:t>Examiner make a recommendation</w:t>
      </w:r>
      <w:r w:rsidR="007D5B1C" w:rsidRPr="63DF70D2">
        <w:rPr>
          <w:rFonts w:cs="Arial"/>
          <w:sz w:val="24"/>
          <w:szCs w:val="24"/>
        </w:rPr>
        <w:t xml:space="preserve">. </w:t>
      </w:r>
      <w:r w:rsidRPr="63DF70D2">
        <w:rPr>
          <w:rFonts w:cs="Arial"/>
          <w:sz w:val="24"/>
          <w:szCs w:val="24"/>
        </w:rPr>
        <w:t>Where an External Examiner has a serious concern about the academic standards and considers the proposed recommendation insufficient, they may raise their concern directly with the Vice-Chancellor (or nominee).</w:t>
      </w:r>
    </w:p>
    <w:p w14:paraId="2EA7C77D" w14:textId="2E2CD87A" w:rsidR="00827818" w:rsidRPr="00A11FC7" w:rsidRDefault="00827818" w:rsidP="007D7119">
      <w:pPr>
        <w:ind w:left="900"/>
        <w:rPr>
          <w:szCs w:val="24"/>
        </w:rPr>
      </w:pPr>
    </w:p>
    <w:p w14:paraId="746FF7F1" w14:textId="1EDCADE7" w:rsidR="00DC2335" w:rsidRDefault="00082E75" w:rsidP="007D7119">
      <w:pPr>
        <w:ind w:left="900"/>
        <w:rPr>
          <w:rFonts w:cs="Arial"/>
        </w:rPr>
      </w:pPr>
      <w:r w:rsidRPr="63DF70D2">
        <w:rPr>
          <w:rFonts w:cs="Arial"/>
        </w:rPr>
        <w:t xml:space="preserve">Results will not be released to students until the </w:t>
      </w:r>
      <w:r w:rsidR="00F52CAF" w:rsidRPr="63DF70D2">
        <w:rPr>
          <w:rFonts w:cs="Arial"/>
        </w:rPr>
        <w:t xml:space="preserve">External Examiner’s </w:t>
      </w:r>
      <w:r w:rsidR="0012275C">
        <w:rPr>
          <w:rFonts w:cs="Arial"/>
        </w:rPr>
        <w:t>e</w:t>
      </w:r>
      <w:r w:rsidRPr="63DF70D2">
        <w:rPr>
          <w:rFonts w:cs="Arial"/>
        </w:rPr>
        <w:t xml:space="preserve">ndorsement of </w:t>
      </w:r>
      <w:r w:rsidR="00DF3853">
        <w:rPr>
          <w:rFonts w:cs="Arial"/>
        </w:rPr>
        <w:t xml:space="preserve">the </w:t>
      </w:r>
      <w:r w:rsidRPr="63DF70D2">
        <w:rPr>
          <w:rFonts w:cs="Arial"/>
        </w:rPr>
        <w:t xml:space="preserve">Assessment </w:t>
      </w:r>
      <w:r w:rsidR="00DF3853">
        <w:rPr>
          <w:rFonts w:cs="Arial"/>
        </w:rPr>
        <w:t>p</w:t>
      </w:r>
      <w:r w:rsidRPr="63DF70D2">
        <w:rPr>
          <w:rFonts w:cs="Arial"/>
        </w:rPr>
        <w:t>rocess has been received.</w:t>
      </w:r>
    </w:p>
    <w:p w14:paraId="2FB1F8E4" w14:textId="59A60237" w:rsidR="008650A3" w:rsidRDefault="008650A3" w:rsidP="008650A3">
      <w:pPr>
        <w:rPr>
          <w:rFonts w:cs="Arial"/>
          <w:szCs w:val="24"/>
        </w:rPr>
      </w:pPr>
    </w:p>
    <w:p w14:paraId="50AFEB72" w14:textId="77777777" w:rsidR="008650A3" w:rsidRDefault="008650A3" w:rsidP="008650A3">
      <w:pPr>
        <w:rPr>
          <w:rFonts w:cs="Arial"/>
          <w:szCs w:val="24"/>
        </w:rPr>
      </w:pPr>
    </w:p>
    <w:p w14:paraId="174B2C6E" w14:textId="4203B70C" w:rsidR="00B01B80" w:rsidRPr="007D7119" w:rsidRDefault="00D966CD" w:rsidP="007D7119">
      <w:pPr>
        <w:pStyle w:val="Heading1"/>
      </w:pPr>
      <w:bookmarkStart w:id="11" w:name="_Toc134519917"/>
      <w:r w:rsidRPr="007D7119">
        <w:t>5</w:t>
      </w:r>
      <w:r w:rsidR="000C4CF8" w:rsidRPr="007D7119">
        <w:t>.</w:t>
      </w:r>
      <w:r w:rsidR="000C4CF8" w:rsidRPr="007D7119">
        <w:tab/>
      </w:r>
      <w:r w:rsidR="00895077" w:rsidRPr="007D7119">
        <w:t>External Examiner Reporting</w:t>
      </w:r>
      <w:bookmarkEnd w:id="11"/>
    </w:p>
    <w:p w14:paraId="674CF172" w14:textId="21707411" w:rsidR="003F2E9A" w:rsidRDefault="003F2E9A" w:rsidP="00002240">
      <w:pPr>
        <w:ind w:left="851" w:hanging="851"/>
        <w:rPr>
          <w:szCs w:val="24"/>
        </w:rPr>
      </w:pPr>
    </w:p>
    <w:p w14:paraId="1BD54A80" w14:textId="374431F7" w:rsidR="00012746" w:rsidRDefault="007F1741" w:rsidP="007D7119">
      <w:pPr>
        <w:ind w:left="900" w:hanging="900"/>
      </w:pPr>
      <w:r>
        <w:rPr>
          <w:szCs w:val="24"/>
        </w:rPr>
        <w:tab/>
      </w:r>
      <w:r w:rsidRPr="6447A6AC">
        <w:t>All External Examiners</w:t>
      </w:r>
      <w:r w:rsidR="008D6734" w:rsidRPr="6447A6AC">
        <w:t xml:space="preserve"> that have engaged in assessment activities during the academic year</w:t>
      </w:r>
      <w:r w:rsidR="008D6734">
        <w:t>,</w:t>
      </w:r>
      <w:r w:rsidRPr="6447A6AC">
        <w:t xml:space="preserve"> are</w:t>
      </w:r>
      <w:r w:rsidR="00A80AF8">
        <w:rPr>
          <w:szCs w:val="24"/>
        </w:rPr>
        <w:t xml:space="preserve"> </w:t>
      </w:r>
      <w:r w:rsidR="00E16090" w:rsidRPr="6447A6AC">
        <w:t>required to complete a</w:t>
      </w:r>
      <w:r w:rsidR="00D92962">
        <w:t>n</w:t>
      </w:r>
      <w:r w:rsidR="00E16090" w:rsidRPr="6447A6AC">
        <w:t xml:space="preserve"> </w:t>
      </w:r>
      <w:r w:rsidR="00D92962">
        <w:t xml:space="preserve">annual </w:t>
      </w:r>
      <w:r w:rsidR="004A0864">
        <w:t>r</w:t>
      </w:r>
      <w:r w:rsidR="00E16090" w:rsidRPr="6447A6AC">
        <w:t>eport</w:t>
      </w:r>
      <w:r w:rsidR="008D6734">
        <w:rPr>
          <w:szCs w:val="24"/>
        </w:rPr>
        <w:t>.</w:t>
      </w:r>
    </w:p>
    <w:p w14:paraId="1E8BDF54" w14:textId="77035E99" w:rsidR="00571D36" w:rsidRDefault="00571D36" w:rsidP="00002240">
      <w:pPr>
        <w:ind w:left="851" w:hanging="851"/>
        <w:rPr>
          <w:szCs w:val="24"/>
        </w:rPr>
      </w:pPr>
    </w:p>
    <w:p w14:paraId="3322DD4C" w14:textId="0E9915D3" w:rsidR="00D10416" w:rsidRDefault="009761E2" w:rsidP="007D7119">
      <w:pPr>
        <w:ind w:left="900"/>
        <w:rPr>
          <w:szCs w:val="24"/>
        </w:rPr>
      </w:pPr>
      <w:r>
        <w:rPr>
          <w:szCs w:val="24"/>
        </w:rPr>
        <w:t xml:space="preserve">The </w:t>
      </w:r>
      <w:r w:rsidR="00540FB9">
        <w:rPr>
          <w:szCs w:val="24"/>
        </w:rPr>
        <w:t xml:space="preserve">process </w:t>
      </w:r>
      <w:r>
        <w:rPr>
          <w:szCs w:val="24"/>
        </w:rPr>
        <w:t xml:space="preserve">for </w:t>
      </w:r>
      <w:r w:rsidR="008979EF">
        <w:rPr>
          <w:szCs w:val="24"/>
        </w:rPr>
        <w:t xml:space="preserve">the submission and consideration of </w:t>
      </w:r>
      <w:r>
        <w:rPr>
          <w:szCs w:val="24"/>
        </w:rPr>
        <w:t xml:space="preserve">each </w:t>
      </w:r>
      <w:r w:rsidR="00540FB9">
        <w:rPr>
          <w:szCs w:val="24"/>
        </w:rPr>
        <w:t xml:space="preserve">report </w:t>
      </w:r>
      <w:r>
        <w:rPr>
          <w:szCs w:val="24"/>
        </w:rPr>
        <w:t>is briefly described in the sections below</w:t>
      </w:r>
      <w:r w:rsidR="007D5B1C">
        <w:rPr>
          <w:szCs w:val="24"/>
        </w:rPr>
        <w:t xml:space="preserve">. </w:t>
      </w:r>
      <w:r w:rsidR="00B54A21">
        <w:rPr>
          <w:szCs w:val="24"/>
        </w:rPr>
        <w:t>Further</w:t>
      </w:r>
      <w:r w:rsidR="008979EF">
        <w:rPr>
          <w:szCs w:val="24"/>
        </w:rPr>
        <w:t xml:space="preserve"> information is available within the relevant External Examiner Handbook.</w:t>
      </w:r>
    </w:p>
    <w:p w14:paraId="505AD447" w14:textId="1D55DA88" w:rsidR="00D10416" w:rsidRDefault="00D10416" w:rsidP="00002240">
      <w:pPr>
        <w:ind w:left="851" w:hanging="851"/>
        <w:rPr>
          <w:szCs w:val="24"/>
        </w:rPr>
      </w:pPr>
    </w:p>
    <w:p w14:paraId="3C699E75" w14:textId="77777777" w:rsidR="00876DDF" w:rsidRDefault="00876DDF" w:rsidP="00002240">
      <w:pPr>
        <w:ind w:left="851" w:hanging="851"/>
        <w:rPr>
          <w:szCs w:val="24"/>
        </w:rPr>
      </w:pPr>
    </w:p>
    <w:p w14:paraId="56214694" w14:textId="4D9FCD19" w:rsidR="005D7D4B" w:rsidRPr="007129C1" w:rsidRDefault="005D7D4B" w:rsidP="007129C1">
      <w:pPr>
        <w:pStyle w:val="Heading2"/>
      </w:pPr>
      <w:bookmarkStart w:id="12" w:name="_Toc134519918"/>
      <w:r w:rsidRPr="007129C1">
        <w:lastRenderedPageBreak/>
        <w:t>5.1</w:t>
      </w:r>
      <w:r w:rsidRPr="007129C1">
        <w:tab/>
        <w:t>Annual Report</w:t>
      </w:r>
      <w:r w:rsidR="006C410D" w:rsidRPr="007129C1">
        <w:t>ing</w:t>
      </w:r>
      <w:bookmarkEnd w:id="12"/>
    </w:p>
    <w:p w14:paraId="17EE87DE" w14:textId="77777777" w:rsidR="005D7D4B" w:rsidRDefault="005D7D4B" w:rsidP="00002240">
      <w:pPr>
        <w:ind w:left="851" w:hanging="851"/>
        <w:rPr>
          <w:szCs w:val="24"/>
        </w:rPr>
      </w:pPr>
    </w:p>
    <w:p w14:paraId="5750FF8D" w14:textId="1FE66AEB" w:rsidR="00571D36" w:rsidRDefault="00571D36" w:rsidP="007D7119">
      <w:pPr>
        <w:ind w:left="900" w:hanging="900"/>
      </w:pPr>
      <w:r>
        <w:rPr>
          <w:szCs w:val="24"/>
        </w:rPr>
        <w:tab/>
      </w:r>
      <w:r w:rsidR="00B929C7" w:rsidRPr="6447A6AC">
        <w:t>Within the Annual Report</w:t>
      </w:r>
      <w:r w:rsidR="003C5CB1">
        <w:t xml:space="preserve"> for </w:t>
      </w:r>
      <w:r w:rsidR="0092775B">
        <w:t>taught</w:t>
      </w:r>
      <w:r w:rsidR="009C0AD6">
        <w:t>, Professional Doctorate</w:t>
      </w:r>
      <w:r w:rsidR="003C5CB1">
        <w:t xml:space="preserve"> an</w:t>
      </w:r>
      <w:r w:rsidR="009C0AD6">
        <w:t>d</w:t>
      </w:r>
      <w:r w:rsidR="003C5CB1">
        <w:t xml:space="preserve"> apprenticeship provision</w:t>
      </w:r>
      <w:r w:rsidR="00F13A8A">
        <w:rPr>
          <w:szCs w:val="24"/>
        </w:rPr>
        <w:t>,</w:t>
      </w:r>
      <w:r w:rsidR="00B929C7" w:rsidRPr="6447A6AC">
        <w:t xml:space="preserve"> </w:t>
      </w:r>
      <w:r w:rsidR="00BE465C">
        <w:t xml:space="preserve">External </w:t>
      </w:r>
      <w:r w:rsidR="00B929C7" w:rsidRPr="6447A6AC">
        <w:t>Examiners are expected to comment on:</w:t>
      </w:r>
    </w:p>
    <w:p w14:paraId="244B2E27" w14:textId="77777777" w:rsidR="007D7119" w:rsidRDefault="007D7119" w:rsidP="007D7119">
      <w:pPr>
        <w:ind w:left="900" w:hanging="900"/>
      </w:pPr>
    </w:p>
    <w:p w14:paraId="51A0EDC7" w14:textId="447366B0" w:rsidR="00B929C7" w:rsidRDefault="00B929C7" w:rsidP="009948D5">
      <w:pPr>
        <w:pStyle w:val="ListParagraph"/>
        <w:numPr>
          <w:ilvl w:val="0"/>
          <w:numId w:val="8"/>
        </w:numPr>
      </w:pPr>
      <w:r>
        <w:t xml:space="preserve">The academic standards of the University’s awards in accordance with the </w:t>
      </w:r>
      <w:hyperlink r:id="rId23">
        <w:r w:rsidR="003364CF" w:rsidRPr="63DF70D2">
          <w:rPr>
            <w:rStyle w:val="Hyperlink"/>
            <w:b/>
            <w:bCs/>
            <w:color w:val="0070C0"/>
          </w:rPr>
          <w:t xml:space="preserve">Quality Assurance Agency’s (QAA) </w:t>
        </w:r>
        <w:r w:rsidR="00745D90" w:rsidRPr="63DF70D2">
          <w:rPr>
            <w:rStyle w:val="Hyperlink"/>
            <w:b/>
            <w:bCs/>
            <w:color w:val="0070C0"/>
          </w:rPr>
          <w:t xml:space="preserve">Qualification </w:t>
        </w:r>
        <w:r w:rsidR="003364CF" w:rsidRPr="63DF70D2">
          <w:rPr>
            <w:rStyle w:val="Hyperlink"/>
            <w:b/>
            <w:bCs/>
            <w:color w:val="0070C0"/>
          </w:rPr>
          <w:t>Framework</w:t>
        </w:r>
        <w:r w:rsidR="00745D90" w:rsidRPr="63DF70D2">
          <w:rPr>
            <w:rStyle w:val="Hyperlink"/>
            <w:b/>
            <w:bCs/>
            <w:color w:val="0070C0"/>
          </w:rPr>
          <w:t>s</w:t>
        </w:r>
      </w:hyperlink>
      <w:r w:rsidR="00053C80" w:rsidRPr="63DF70D2">
        <w:rPr>
          <w:rStyle w:val="Hyperlink"/>
          <w:b/>
          <w:bCs/>
          <w:color w:val="auto"/>
        </w:rPr>
        <w:t xml:space="preserve">, </w:t>
      </w:r>
      <w:hyperlink r:id="rId24">
        <w:r w:rsidR="00053C80" w:rsidRPr="63DF70D2">
          <w:rPr>
            <w:rStyle w:val="Hyperlink"/>
            <w:b/>
            <w:bCs/>
          </w:rPr>
          <w:t>Characteristic Statements</w:t>
        </w:r>
      </w:hyperlink>
      <w:r w:rsidR="00C3469A">
        <w:rPr>
          <w:rStyle w:val="Hyperlink"/>
          <w:b/>
          <w:bCs/>
        </w:rPr>
        <w:t>,</w:t>
      </w:r>
      <w:r w:rsidR="003364CF">
        <w:t xml:space="preserve"> </w:t>
      </w:r>
      <w:r w:rsidR="000C6EE1">
        <w:t xml:space="preserve">relevant </w:t>
      </w:r>
      <w:hyperlink r:id="rId25" w:history="1">
        <w:r w:rsidR="000C6EE1">
          <w:rPr>
            <w:b/>
            <w:bCs/>
            <w:color w:val="0070C0"/>
          </w:rPr>
          <w:t>Subject Benchmark Statements,</w:t>
        </w:r>
      </w:hyperlink>
      <w:r w:rsidR="000A05FB">
        <w:t xml:space="preserve"> and</w:t>
      </w:r>
      <w:r>
        <w:t xml:space="preserve"> </w:t>
      </w:r>
      <w:r w:rsidR="000A05FB">
        <w:t>in comparison with other similar HE institutions with which the</w:t>
      </w:r>
      <w:r w:rsidR="00BE465C">
        <w:t xml:space="preserve"> External</w:t>
      </w:r>
      <w:r w:rsidR="000A05FB">
        <w:t xml:space="preserve"> Examiner has experience.</w:t>
      </w:r>
    </w:p>
    <w:p w14:paraId="5D4B0B7E" w14:textId="2A7808CE" w:rsidR="00CB18F1" w:rsidRDefault="000A05FB" w:rsidP="63DF70D2">
      <w:pPr>
        <w:pStyle w:val="ListParagraph"/>
        <w:numPr>
          <w:ilvl w:val="0"/>
          <w:numId w:val="8"/>
        </w:numPr>
      </w:pPr>
      <w:r>
        <w:t>The rigour of the assessment process that measures student achievement against the intended learning outcomes of the course in line with the University policies and regulations.</w:t>
      </w:r>
    </w:p>
    <w:p w14:paraId="2C1CF893" w14:textId="5C58645A" w:rsidR="000A05FB" w:rsidRDefault="00545CC1" w:rsidP="009948D5">
      <w:pPr>
        <w:pStyle w:val="ListParagraph"/>
        <w:numPr>
          <w:ilvl w:val="0"/>
          <w:numId w:val="8"/>
        </w:numPr>
        <w:rPr>
          <w:szCs w:val="24"/>
        </w:rPr>
      </w:pPr>
      <w:r>
        <w:rPr>
          <w:szCs w:val="24"/>
        </w:rPr>
        <w:t xml:space="preserve">Any instance of </w:t>
      </w:r>
      <w:r w:rsidR="0000724C">
        <w:rPr>
          <w:szCs w:val="24"/>
        </w:rPr>
        <w:t xml:space="preserve">exceptional </w:t>
      </w:r>
      <w:r>
        <w:rPr>
          <w:szCs w:val="24"/>
        </w:rPr>
        <w:t>practice observed and opportunities to enhance the student learning experience.</w:t>
      </w:r>
    </w:p>
    <w:p w14:paraId="7A258A0F" w14:textId="0EF25AE5" w:rsidR="00545CC1" w:rsidRDefault="00B11249" w:rsidP="009948D5">
      <w:pPr>
        <w:pStyle w:val="ListParagraph"/>
        <w:numPr>
          <w:ilvl w:val="0"/>
          <w:numId w:val="8"/>
        </w:numPr>
        <w:rPr>
          <w:szCs w:val="24"/>
        </w:rPr>
      </w:pPr>
      <w:r>
        <w:rPr>
          <w:szCs w:val="24"/>
        </w:rPr>
        <w:t xml:space="preserve">Whether sufficient evidence and information was available to them </w:t>
      </w:r>
      <w:r w:rsidR="00782CF7">
        <w:rPr>
          <w:szCs w:val="24"/>
        </w:rPr>
        <w:t>to</w:t>
      </w:r>
      <w:r>
        <w:rPr>
          <w:szCs w:val="24"/>
        </w:rPr>
        <w:t xml:space="preserve"> fulfil their role.</w:t>
      </w:r>
    </w:p>
    <w:p w14:paraId="61C0D423" w14:textId="74AC02BD" w:rsidR="00B11249" w:rsidRDefault="009D6554" w:rsidP="009948D5">
      <w:pPr>
        <w:pStyle w:val="ListParagraph"/>
        <w:numPr>
          <w:ilvl w:val="0"/>
          <w:numId w:val="8"/>
        </w:numPr>
      </w:pPr>
      <w:r>
        <w:t>Whether any matters raised in previous reports have been satisfactorily addressed</w:t>
      </w:r>
      <w:r w:rsidR="00D21EAA">
        <w:t xml:space="preserve"> or </w:t>
      </w:r>
      <w:r w:rsidR="008000DD">
        <w:t xml:space="preserve">if there are </w:t>
      </w:r>
      <w:r w:rsidR="00D21EAA">
        <w:t>any areas of significant concern.</w:t>
      </w:r>
    </w:p>
    <w:p w14:paraId="24EA7B3A" w14:textId="5F24DCD3" w:rsidR="00680C0C" w:rsidRDefault="00680C0C" w:rsidP="009D6554">
      <w:pPr>
        <w:rPr>
          <w:szCs w:val="24"/>
        </w:rPr>
      </w:pPr>
    </w:p>
    <w:p w14:paraId="24387A86" w14:textId="6521D94B" w:rsidR="00D92962" w:rsidRDefault="00D92962" w:rsidP="00D92962">
      <w:pPr>
        <w:ind w:left="720"/>
        <w:rPr>
          <w:szCs w:val="24"/>
        </w:rPr>
      </w:pPr>
      <w:r>
        <w:rPr>
          <w:szCs w:val="24"/>
        </w:rPr>
        <w:t xml:space="preserve">In addition, </w:t>
      </w:r>
      <w:r w:rsidR="0079368F">
        <w:rPr>
          <w:szCs w:val="24"/>
        </w:rPr>
        <w:t xml:space="preserve">External </w:t>
      </w:r>
      <w:r>
        <w:rPr>
          <w:szCs w:val="24"/>
        </w:rPr>
        <w:t xml:space="preserve">Examiners for integrated apprenticeship </w:t>
      </w:r>
      <w:r w:rsidR="0079368F">
        <w:rPr>
          <w:szCs w:val="24"/>
        </w:rPr>
        <w:t xml:space="preserve">End Point Assessment </w:t>
      </w:r>
      <w:r>
        <w:rPr>
          <w:szCs w:val="24"/>
        </w:rPr>
        <w:t>provision will also comment on whether:</w:t>
      </w:r>
    </w:p>
    <w:p w14:paraId="01373F19" w14:textId="665F0B5C" w:rsidR="00D92962" w:rsidRDefault="00D92962" w:rsidP="00D92962">
      <w:pPr>
        <w:ind w:left="720"/>
        <w:rPr>
          <w:szCs w:val="24"/>
        </w:rPr>
      </w:pPr>
    </w:p>
    <w:p w14:paraId="3055D49E" w14:textId="77777777" w:rsidR="00D92962" w:rsidRPr="00F362D6" w:rsidRDefault="00D92962" w:rsidP="00D92962">
      <w:pPr>
        <w:pStyle w:val="ListParagraph"/>
        <w:numPr>
          <w:ilvl w:val="0"/>
          <w:numId w:val="19"/>
        </w:numPr>
      </w:pPr>
      <w:r>
        <w:t xml:space="preserve">There is a robust approach to maintaining and enhancing the quality and validity of End Point Assessment in line with the End Point Assessment (EPA) Plan and in accordance with the requirements within the </w:t>
      </w:r>
      <w:hyperlink r:id="rId26" w:history="1">
        <w:r w:rsidRPr="00DC2AFB">
          <w:rPr>
            <w:rStyle w:val="Hyperlink"/>
            <w:b/>
            <w:bCs/>
            <w:color w:val="0070C0"/>
          </w:rPr>
          <w:t>External Quality Assurance Framework</w:t>
        </w:r>
      </w:hyperlink>
      <w:r>
        <w:rPr>
          <w:b/>
          <w:bCs/>
          <w:color w:val="0070C0"/>
        </w:rPr>
        <w:t>.</w:t>
      </w:r>
    </w:p>
    <w:p w14:paraId="612C858A" w14:textId="77777777" w:rsidR="00D92962" w:rsidRDefault="00D92962" w:rsidP="009D6554">
      <w:pPr>
        <w:rPr>
          <w:szCs w:val="24"/>
        </w:rPr>
      </w:pPr>
    </w:p>
    <w:p w14:paraId="6A70F9AC" w14:textId="114B8224" w:rsidR="00772212" w:rsidRDefault="00BE465C" w:rsidP="007D7119">
      <w:pPr>
        <w:ind w:left="900"/>
      </w:pPr>
      <w:r>
        <w:t xml:space="preserve">External </w:t>
      </w:r>
      <w:r w:rsidR="00772212">
        <w:t xml:space="preserve">Examiners will </w:t>
      </w:r>
      <w:r w:rsidR="00977890">
        <w:t xml:space="preserve">normally </w:t>
      </w:r>
      <w:r w:rsidR="00772212">
        <w:t xml:space="preserve">submit </w:t>
      </w:r>
      <w:r w:rsidR="00F25960">
        <w:t xml:space="preserve">one </w:t>
      </w:r>
      <w:r w:rsidR="005A78BB">
        <w:t>Annual R</w:t>
      </w:r>
      <w:r w:rsidR="00F25960">
        <w:t>eport</w:t>
      </w:r>
      <w:r w:rsidR="002C1240">
        <w:t xml:space="preserve"> each academic year, covering both assessment and reassessment periods</w:t>
      </w:r>
      <w:r w:rsidR="00772212">
        <w:t xml:space="preserve">, using the appropriate </w:t>
      </w:r>
      <w:r w:rsidR="00E7724B">
        <w:t xml:space="preserve">online </w:t>
      </w:r>
      <w:r w:rsidR="00772212">
        <w:t xml:space="preserve">template, </w:t>
      </w:r>
      <w:r w:rsidR="009D77F5">
        <w:t>to meet</w:t>
      </w:r>
      <w:r w:rsidR="00772212">
        <w:t xml:space="preserve"> the deadlines set by the University</w:t>
      </w:r>
      <w:r w:rsidR="00245D58">
        <w:t xml:space="preserve"> </w:t>
      </w:r>
      <w:r w:rsidR="0079368F">
        <w:t>(</w:t>
      </w:r>
      <w:r w:rsidR="00D92962">
        <w:t>normally 6 weeks after the final Assessment Board)</w:t>
      </w:r>
      <w:r w:rsidR="0079368F">
        <w:t>.</w:t>
      </w:r>
    </w:p>
    <w:p w14:paraId="0B273266" w14:textId="77777777" w:rsidR="00772212" w:rsidRDefault="00772212" w:rsidP="00735C9D">
      <w:pPr>
        <w:rPr>
          <w:szCs w:val="24"/>
        </w:rPr>
      </w:pPr>
    </w:p>
    <w:p w14:paraId="79C530A4" w14:textId="53138076" w:rsidR="00772212" w:rsidRDefault="00772212" w:rsidP="007D7119">
      <w:pPr>
        <w:ind w:left="900" w:hanging="900"/>
      </w:pPr>
      <w:r>
        <w:rPr>
          <w:szCs w:val="24"/>
        </w:rPr>
        <w:tab/>
      </w:r>
      <w:r w:rsidR="00204707" w:rsidRPr="5E701C7A">
        <w:t>Where</w:t>
      </w:r>
      <w:r w:rsidRPr="5E701C7A">
        <w:t xml:space="preserve"> </w:t>
      </w:r>
      <w:r w:rsidR="00BE465C">
        <w:t xml:space="preserve">External </w:t>
      </w:r>
      <w:r w:rsidRPr="5E701C7A">
        <w:t>Examiner</w:t>
      </w:r>
      <w:r w:rsidR="00204707" w:rsidRPr="5E701C7A">
        <w:t>s</w:t>
      </w:r>
      <w:r>
        <w:rPr>
          <w:szCs w:val="24"/>
        </w:rPr>
        <w:t xml:space="preserve"> </w:t>
      </w:r>
      <w:r w:rsidR="00204707" w:rsidRPr="5E701C7A">
        <w:t>are</w:t>
      </w:r>
      <w:r w:rsidRPr="5E701C7A">
        <w:t xml:space="preserve"> appointed to </w:t>
      </w:r>
      <w:r w:rsidR="004B6BDC" w:rsidRPr="5E701C7A">
        <w:t xml:space="preserve">several </w:t>
      </w:r>
      <w:r w:rsidRPr="5E701C7A">
        <w:t>courses</w:t>
      </w:r>
      <w:r w:rsidR="004B6BDC" w:rsidRPr="5E701C7A">
        <w:t>/modules</w:t>
      </w:r>
      <w:r w:rsidR="00526988">
        <w:t>,</w:t>
      </w:r>
      <w:r w:rsidRPr="5E701C7A">
        <w:t xml:space="preserve"> or </w:t>
      </w:r>
      <w:r w:rsidR="00526988">
        <w:t xml:space="preserve">multiple </w:t>
      </w:r>
      <w:r w:rsidR="006D20FE">
        <w:t>cohorts</w:t>
      </w:r>
      <w:r w:rsidR="00526988">
        <w:t>,</w:t>
      </w:r>
      <w:r w:rsidR="006D20FE">
        <w:t xml:space="preserve"> or </w:t>
      </w:r>
      <w:r w:rsidRPr="5E701C7A">
        <w:t xml:space="preserve">at </w:t>
      </w:r>
      <w:proofErr w:type="gramStart"/>
      <w:r w:rsidRPr="5E701C7A">
        <w:t>a number of</w:t>
      </w:r>
      <w:proofErr w:type="gramEnd"/>
      <w:r w:rsidRPr="5E701C7A">
        <w:t xml:space="preserve"> </w:t>
      </w:r>
      <w:r w:rsidR="00CB5BE8" w:rsidRPr="5E701C7A">
        <w:t xml:space="preserve">partners or </w:t>
      </w:r>
      <w:r w:rsidRPr="5E701C7A">
        <w:t>locations</w:t>
      </w:r>
      <w:r w:rsidR="00BC53D6">
        <w:rPr>
          <w:szCs w:val="24"/>
        </w:rPr>
        <w:t>,</w:t>
      </w:r>
      <w:r w:rsidRPr="5E701C7A">
        <w:t xml:space="preserve"> care must be taken to ensure that comments relating to a specific course</w:t>
      </w:r>
      <w:r w:rsidR="00CC40D8">
        <w:rPr>
          <w:szCs w:val="24"/>
        </w:rPr>
        <w:t xml:space="preserve">, </w:t>
      </w:r>
      <w:r w:rsidR="00463BFF" w:rsidRPr="5E701C7A">
        <w:t xml:space="preserve">module, </w:t>
      </w:r>
      <w:r w:rsidR="00526988">
        <w:t xml:space="preserve">cohort of students, </w:t>
      </w:r>
      <w:r w:rsidR="00463BFF" w:rsidRPr="5E701C7A">
        <w:t>partner or</w:t>
      </w:r>
      <w:r w:rsidRPr="5E701C7A">
        <w:t xml:space="preserve"> location are clearly identifiable.</w:t>
      </w:r>
    </w:p>
    <w:p w14:paraId="37EF17CE" w14:textId="77777777" w:rsidR="00772212" w:rsidRDefault="00772212" w:rsidP="009D6554">
      <w:pPr>
        <w:rPr>
          <w:szCs w:val="24"/>
        </w:rPr>
      </w:pPr>
    </w:p>
    <w:p w14:paraId="73A106DD" w14:textId="496F1732" w:rsidR="007409AF" w:rsidRDefault="00555444" w:rsidP="007D7119">
      <w:pPr>
        <w:ind w:left="900"/>
      </w:pPr>
      <w:r>
        <w:t xml:space="preserve">External </w:t>
      </w:r>
      <w:r w:rsidR="007409AF">
        <w:t xml:space="preserve">Examiners in the </w:t>
      </w:r>
      <w:r w:rsidR="006B6F0D">
        <w:t xml:space="preserve">first and </w:t>
      </w:r>
      <w:r w:rsidR="007409AF">
        <w:t xml:space="preserve">last year of </w:t>
      </w:r>
      <w:r w:rsidR="003E1606">
        <w:t>their tenure</w:t>
      </w:r>
      <w:r w:rsidR="007409AF">
        <w:t xml:space="preserve"> are </w:t>
      </w:r>
      <w:r w:rsidR="008304BC">
        <w:t>invited</w:t>
      </w:r>
      <w:r w:rsidR="007409AF">
        <w:t xml:space="preserve"> to give an </w:t>
      </w:r>
      <w:r w:rsidR="006B6F0D">
        <w:t>overview of their</w:t>
      </w:r>
      <w:r w:rsidR="003E1606">
        <w:t xml:space="preserve"> experiences.</w:t>
      </w:r>
    </w:p>
    <w:p w14:paraId="431B2AF2" w14:textId="739049EA" w:rsidR="003E1606" w:rsidRDefault="003E1606" w:rsidP="00702F34">
      <w:pPr>
        <w:ind w:left="851" w:hanging="851"/>
        <w:rPr>
          <w:szCs w:val="24"/>
        </w:rPr>
      </w:pPr>
    </w:p>
    <w:p w14:paraId="45389C21" w14:textId="58CC1062" w:rsidR="00F00F8E" w:rsidRDefault="003E1606" w:rsidP="007D7119">
      <w:pPr>
        <w:ind w:left="900" w:hanging="900"/>
      </w:pPr>
      <w:r>
        <w:rPr>
          <w:szCs w:val="24"/>
        </w:rPr>
        <w:tab/>
      </w:r>
      <w:r w:rsidR="00724605" w:rsidRPr="6447A6AC">
        <w:t>External Examiners may, at any point during their tenure, submit a separate confidential report to the Vice-Chancellor</w:t>
      </w:r>
      <w:r w:rsidR="00724605">
        <w:t xml:space="preserve"> (or nominee)</w:t>
      </w:r>
      <w:r w:rsidR="00724605" w:rsidRPr="6447A6AC">
        <w:t>.</w:t>
      </w:r>
    </w:p>
    <w:p w14:paraId="15ED4520" w14:textId="4A819BF0" w:rsidR="00F00F8E" w:rsidRDefault="00F00F8E" w:rsidP="00702F34">
      <w:pPr>
        <w:ind w:left="851" w:hanging="851"/>
        <w:rPr>
          <w:szCs w:val="24"/>
        </w:rPr>
      </w:pPr>
    </w:p>
    <w:p w14:paraId="694832AE" w14:textId="6D050B46" w:rsidR="00F00F8E" w:rsidRDefault="00F00F8E" w:rsidP="007D7119">
      <w:pPr>
        <w:ind w:left="900" w:hanging="900"/>
        <w:rPr>
          <w:szCs w:val="24"/>
        </w:rPr>
      </w:pPr>
      <w:r>
        <w:rPr>
          <w:szCs w:val="24"/>
        </w:rPr>
        <w:tab/>
      </w:r>
      <w:r w:rsidR="00364E68">
        <w:rPr>
          <w:szCs w:val="24"/>
        </w:rPr>
        <w:t xml:space="preserve">The University reserves the right to request additional information from an </w:t>
      </w:r>
      <w:r w:rsidR="00555444">
        <w:rPr>
          <w:szCs w:val="24"/>
        </w:rPr>
        <w:t xml:space="preserve">External </w:t>
      </w:r>
      <w:r w:rsidR="00364E68">
        <w:rPr>
          <w:szCs w:val="24"/>
        </w:rPr>
        <w:t xml:space="preserve">Examiner if the submitted report </w:t>
      </w:r>
      <w:r w:rsidR="00354F48">
        <w:rPr>
          <w:szCs w:val="24"/>
        </w:rPr>
        <w:t>contains</w:t>
      </w:r>
      <w:r w:rsidR="00364E68">
        <w:rPr>
          <w:szCs w:val="24"/>
        </w:rPr>
        <w:t xml:space="preserve"> insufficient detail </w:t>
      </w:r>
      <w:r w:rsidR="00A46AFA">
        <w:rPr>
          <w:szCs w:val="24"/>
        </w:rPr>
        <w:t xml:space="preserve">to </w:t>
      </w:r>
      <w:r w:rsidR="00CC2022">
        <w:rPr>
          <w:szCs w:val="24"/>
        </w:rPr>
        <w:t>determine</w:t>
      </w:r>
      <w:r w:rsidR="00A46AFA">
        <w:rPr>
          <w:szCs w:val="24"/>
        </w:rPr>
        <w:t xml:space="preserve"> their opinion of the academic standards of the module/award concerned.</w:t>
      </w:r>
    </w:p>
    <w:p w14:paraId="7AC29A4F" w14:textId="16A6CB74" w:rsidR="00A46AFA" w:rsidRDefault="00A46AFA" w:rsidP="00702F34">
      <w:pPr>
        <w:ind w:left="851" w:hanging="851"/>
        <w:rPr>
          <w:szCs w:val="24"/>
        </w:rPr>
      </w:pPr>
    </w:p>
    <w:p w14:paraId="17D7D345" w14:textId="5FC84759" w:rsidR="00A46AFA" w:rsidRDefault="00A46AFA" w:rsidP="007D7119">
      <w:pPr>
        <w:ind w:left="900" w:hanging="900"/>
        <w:rPr>
          <w:szCs w:val="24"/>
        </w:rPr>
      </w:pPr>
      <w:r>
        <w:rPr>
          <w:szCs w:val="24"/>
        </w:rPr>
        <w:lastRenderedPageBreak/>
        <w:tab/>
        <w:t>Payment of the annual fee is conditional upon the timely receipt of a satisfactory Annual Report</w:t>
      </w:r>
      <w:r w:rsidR="009B7B23">
        <w:rPr>
          <w:szCs w:val="24"/>
        </w:rPr>
        <w:t>, or in the case of an Advanced Independent Work External Examiner, their attendance at an oral examination</w:t>
      </w:r>
      <w:r>
        <w:rPr>
          <w:szCs w:val="24"/>
        </w:rPr>
        <w:t>.</w:t>
      </w:r>
    </w:p>
    <w:p w14:paraId="51A5FBF9" w14:textId="67C0711F" w:rsidR="004415FE" w:rsidRDefault="004415FE" w:rsidP="00702F34">
      <w:pPr>
        <w:ind w:left="851" w:hanging="851"/>
        <w:rPr>
          <w:szCs w:val="24"/>
        </w:rPr>
      </w:pPr>
    </w:p>
    <w:p w14:paraId="5CC0A127" w14:textId="64F34EC6" w:rsidR="004415FE" w:rsidRDefault="004415FE" w:rsidP="007D7119">
      <w:pPr>
        <w:ind w:left="900"/>
      </w:pPr>
      <w:r>
        <w:t>The University reserves the right to terminate an External Examiner’s tenure if a report is not received within a reasonable timeframe of the deadline</w:t>
      </w:r>
      <w:r w:rsidR="00453085">
        <w:t>.</w:t>
      </w:r>
    </w:p>
    <w:p w14:paraId="5FF39446" w14:textId="77777777" w:rsidR="006D2803" w:rsidRDefault="006D2803" w:rsidP="008E3692"/>
    <w:p w14:paraId="6E6BB17F" w14:textId="3D1DEB91" w:rsidR="004941A8" w:rsidRPr="007129C1" w:rsidRDefault="004941A8" w:rsidP="007129C1">
      <w:pPr>
        <w:pStyle w:val="Heading2"/>
      </w:pPr>
      <w:bookmarkStart w:id="13" w:name="_Toc134519919"/>
      <w:r w:rsidRPr="007129C1">
        <w:t>5.</w:t>
      </w:r>
      <w:r w:rsidR="00230B7F">
        <w:t>2</w:t>
      </w:r>
      <w:r w:rsidRPr="007129C1">
        <w:tab/>
        <w:t>Consideration of External Examiner Reports</w:t>
      </w:r>
      <w:bookmarkEnd w:id="13"/>
    </w:p>
    <w:p w14:paraId="348555CA" w14:textId="77777777" w:rsidR="004941A8" w:rsidRDefault="004941A8" w:rsidP="004941A8">
      <w:pPr>
        <w:rPr>
          <w:szCs w:val="24"/>
        </w:rPr>
      </w:pPr>
    </w:p>
    <w:p w14:paraId="7A38FB93" w14:textId="7E884D4B" w:rsidR="004941A8" w:rsidRDefault="004941A8" w:rsidP="00506200">
      <w:pPr>
        <w:ind w:left="900" w:hanging="900"/>
      </w:pPr>
      <w:r>
        <w:rPr>
          <w:szCs w:val="24"/>
        </w:rPr>
        <w:tab/>
      </w:r>
      <w:r w:rsidRPr="6447A6AC">
        <w:t xml:space="preserve">All External Examiner reports will be read by </w:t>
      </w:r>
      <w:r>
        <w:t>SLAR</w:t>
      </w:r>
      <w:r w:rsidRPr="6447A6AC">
        <w:t xml:space="preserve"> before being passed to the School</w:t>
      </w:r>
      <w:r>
        <w:t xml:space="preserve"> </w:t>
      </w:r>
      <w:r w:rsidRPr="6447A6AC">
        <w:t xml:space="preserve">who will prepare a written response to the </w:t>
      </w:r>
      <w:r>
        <w:t xml:space="preserve">External </w:t>
      </w:r>
      <w:r w:rsidRPr="6447A6AC">
        <w:t>Examiner.</w:t>
      </w:r>
      <w:r>
        <w:t xml:space="preserve"> Schools will forward the Annual Reports to any relevant partners.</w:t>
      </w:r>
    </w:p>
    <w:p w14:paraId="77182465" w14:textId="77777777" w:rsidR="004941A8" w:rsidRDefault="004941A8" w:rsidP="004941A8">
      <w:pPr>
        <w:ind w:left="709" w:hanging="709"/>
        <w:rPr>
          <w:szCs w:val="24"/>
        </w:rPr>
      </w:pPr>
    </w:p>
    <w:p w14:paraId="74392967" w14:textId="36011407" w:rsidR="004941A8" w:rsidRDefault="004941A8" w:rsidP="00506200">
      <w:pPr>
        <w:ind w:left="900" w:hanging="900"/>
      </w:pPr>
      <w:r>
        <w:rPr>
          <w:szCs w:val="24"/>
        </w:rPr>
        <w:tab/>
      </w:r>
      <w:r w:rsidRPr="6447A6AC">
        <w:t>Schools will consider the matters raised in the report through the appropriate forum (course team meeting, School committee, Student Voice Forum etc.) and where relevant will construct a response detailing how and when appropriate actions will be taken</w:t>
      </w:r>
      <w:r>
        <w:t>,</w:t>
      </w:r>
      <w:r w:rsidRPr="6447A6AC">
        <w:t xml:space="preserve"> and good practice disseminated</w:t>
      </w:r>
      <w:r w:rsidR="007D5B1C">
        <w:rPr>
          <w:szCs w:val="24"/>
        </w:rPr>
        <w:t xml:space="preserve">. </w:t>
      </w:r>
    </w:p>
    <w:p w14:paraId="4FF65837" w14:textId="77777777" w:rsidR="004941A8" w:rsidRDefault="004941A8" w:rsidP="004941A8">
      <w:pPr>
        <w:ind w:left="709" w:hanging="709"/>
        <w:rPr>
          <w:szCs w:val="24"/>
        </w:rPr>
      </w:pPr>
    </w:p>
    <w:p w14:paraId="38A3234D" w14:textId="1EFF96BB" w:rsidR="004941A8" w:rsidRDefault="004941A8" w:rsidP="00506200">
      <w:pPr>
        <w:ind w:left="900"/>
      </w:pPr>
      <w:r w:rsidRPr="6447A6AC">
        <w:rPr>
          <w:rFonts w:cs="Arial"/>
        </w:rPr>
        <w:t>To safeguard and enhance academic standards and the student learning experience</w:t>
      </w:r>
      <w:r>
        <w:t>, a formal response to significant concerns raised within the External Examiner reports should be sent to the External Examiner within 20 working days of receipt of the report by the School</w:t>
      </w:r>
      <w:r w:rsidR="007D5B1C">
        <w:t xml:space="preserve">. </w:t>
      </w:r>
      <w:r>
        <w:t xml:space="preserve">Where, for good reasons, it is not possible to respond to the External Examiner in this </w:t>
      </w:r>
      <w:r w:rsidR="007D5B1C">
        <w:t>time</w:t>
      </w:r>
      <w:r>
        <w:t>, an initial response acknowledging the matter is under discussion can be given with a follow-up communication provided later</w:t>
      </w:r>
      <w:r w:rsidR="007D5B1C">
        <w:t xml:space="preserve">. </w:t>
      </w:r>
    </w:p>
    <w:p w14:paraId="658E1B56" w14:textId="77777777" w:rsidR="004941A8" w:rsidRDefault="004941A8" w:rsidP="004941A8">
      <w:pPr>
        <w:ind w:left="709" w:hanging="709"/>
        <w:rPr>
          <w:szCs w:val="24"/>
        </w:rPr>
      </w:pPr>
    </w:p>
    <w:p w14:paraId="17BB8E55" w14:textId="26E99743" w:rsidR="004941A8" w:rsidRDefault="004941A8" w:rsidP="00506200">
      <w:pPr>
        <w:ind w:left="900"/>
        <w:rPr>
          <w:szCs w:val="24"/>
        </w:rPr>
      </w:pPr>
      <w:r w:rsidRPr="00A65568">
        <w:rPr>
          <w:szCs w:val="24"/>
        </w:rPr>
        <w:t>Where an External Examiner’s suggestion is not acted upon</w:t>
      </w:r>
      <w:r w:rsidR="0079368F">
        <w:rPr>
          <w:szCs w:val="24"/>
        </w:rPr>
        <w:t>,</w:t>
      </w:r>
      <w:r w:rsidRPr="00A65568">
        <w:rPr>
          <w:szCs w:val="24"/>
        </w:rPr>
        <w:t xml:space="preserve"> </w:t>
      </w:r>
      <w:r w:rsidR="007D5B1C" w:rsidRPr="00A65568">
        <w:rPr>
          <w:szCs w:val="24"/>
        </w:rPr>
        <w:t>the School must provide an explanation</w:t>
      </w:r>
      <w:r w:rsidRPr="00A65568">
        <w:rPr>
          <w:szCs w:val="24"/>
        </w:rPr>
        <w:t>.</w:t>
      </w:r>
    </w:p>
    <w:p w14:paraId="11500F6D" w14:textId="77777777" w:rsidR="004941A8" w:rsidRDefault="004941A8" w:rsidP="004941A8">
      <w:pPr>
        <w:ind w:left="709" w:hanging="709"/>
        <w:rPr>
          <w:szCs w:val="24"/>
        </w:rPr>
      </w:pPr>
    </w:p>
    <w:p w14:paraId="476C7315" w14:textId="70617632" w:rsidR="004941A8" w:rsidRDefault="004941A8" w:rsidP="00506200">
      <w:pPr>
        <w:ind w:left="900" w:hanging="900"/>
        <w:rPr>
          <w:szCs w:val="24"/>
        </w:rPr>
      </w:pPr>
      <w:r>
        <w:rPr>
          <w:szCs w:val="24"/>
        </w:rPr>
        <w:tab/>
      </w:r>
      <w:r w:rsidRPr="6447A6AC">
        <w:t xml:space="preserve">Where an </w:t>
      </w:r>
      <w:r>
        <w:t xml:space="preserve">External </w:t>
      </w:r>
      <w:r w:rsidRPr="6447A6AC">
        <w:t>Examiner raises an institutional level matter, for example relating to the assessment regulations, SLAR will liaise with the School/Partner to provide a response</w:t>
      </w:r>
      <w:r w:rsidR="00AB67EF" w:rsidRPr="6447A6AC">
        <w:t>.</w:t>
      </w:r>
      <w:r w:rsidR="00AB67EF" w:rsidRPr="004029C6">
        <w:rPr>
          <w:szCs w:val="24"/>
        </w:rPr>
        <w:t xml:space="preserve"> </w:t>
      </w:r>
    </w:p>
    <w:p w14:paraId="38C7860C" w14:textId="77777777" w:rsidR="006D0F09" w:rsidRDefault="006D0F09" w:rsidP="00506200">
      <w:pPr>
        <w:ind w:left="900" w:hanging="900"/>
      </w:pPr>
    </w:p>
    <w:p w14:paraId="41C75BEA" w14:textId="3C81F5A8" w:rsidR="004941A8" w:rsidRDefault="004941A8" w:rsidP="00506200">
      <w:pPr>
        <w:ind w:left="900"/>
      </w:pPr>
      <w:r>
        <w:t>External Examiner reports and School responses will be used to inform the University’s quality assurance processes, such as course approval, periodic review and Continuous Monitoring and Enhancement processes</w:t>
      </w:r>
      <w:r w:rsidR="007D5B1C">
        <w:t xml:space="preserve">. </w:t>
      </w:r>
      <w:r>
        <w:t>In addition, Academic Board annually considers the outcomes of External Examiners’ reports and monitors the resulting action plan.</w:t>
      </w:r>
    </w:p>
    <w:p w14:paraId="4E39AA99" w14:textId="181DE7A4" w:rsidR="00B363A4" w:rsidRDefault="00B363A4" w:rsidP="00AB4E24">
      <w:pPr>
        <w:rPr>
          <w:szCs w:val="24"/>
        </w:rPr>
      </w:pPr>
    </w:p>
    <w:p w14:paraId="2B896C15" w14:textId="77777777" w:rsidR="00A8365D" w:rsidRDefault="00A8365D" w:rsidP="00AB4E24">
      <w:pPr>
        <w:rPr>
          <w:szCs w:val="24"/>
        </w:rPr>
      </w:pPr>
    </w:p>
    <w:p w14:paraId="7498BA8C" w14:textId="1E3E280D" w:rsidR="009E461B" w:rsidRPr="00506200" w:rsidRDefault="00B363A4" w:rsidP="00506200">
      <w:pPr>
        <w:pStyle w:val="Heading1"/>
      </w:pPr>
      <w:bookmarkStart w:id="14" w:name="_Toc134519920"/>
      <w:r w:rsidRPr="00506200">
        <w:t>6.</w:t>
      </w:r>
      <w:r w:rsidR="009E461B" w:rsidRPr="00506200">
        <w:tab/>
      </w:r>
      <w:r w:rsidR="00895077" w:rsidRPr="00506200">
        <w:t>Causes for Concern</w:t>
      </w:r>
      <w:bookmarkEnd w:id="14"/>
    </w:p>
    <w:p w14:paraId="223989C4" w14:textId="77777777" w:rsidR="009E461B" w:rsidRDefault="009E461B" w:rsidP="009E461B">
      <w:pPr>
        <w:ind w:left="851" w:hanging="851"/>
        <w:rPr>
          <w:szCs w:val="24"/>
        </w:rPr>
      </w:pPr>
    </w:p>
    <w:p w14:paraId="1466F641" w14:textId="124155E8" w:rsidR="009E461B" w:rsidRDefault="009E461B" w:rsidP="00506200">
      <w:pPr>
        <w:ind w:left="900" w:hanging="851"/>
        <w:rPr>
          <w:szCs w:val="24"/>
        </w:rPr>
      </w:pPr>
      <w:r>
        <w:rPr>
          <w:szCs w:val="24"/>
        </w:rPr>
        <w:tab/>
        <w:t xml:space="preserve">The University will respond to any concerns an </w:t>
      </w:r>
      <w:r w:rsidR="003A4E00">
        <w:rPr>
          <w:szCs w:val="24"/>
        </w:rPr>
        <w:t xml:space="preserve">External </w:t>
      </w:r>
      <w:r>
        <w:rPr>
          <w:szCs w:val="24"/>
        </w:rPr>
        <w:t xml:space="preserve">Examiner </w:t>
      </w:r>
      <w:r w:rsidR="00531AE9">
        <w:rPr>
          <w:szCs w:val="24"/>
        </w:rPr>
        <w:t>has</w:t>
      </w:r>
      <w:r>
        <w:rPr>
          <w:szCs w:val="24"/>
        </w:rPr>
        <w:t xml:space="preserve"> in relation to their duties or matters that arise during their tenure</w:t>
      </w:r>
      <w:r w:rsidR="00245D58">
        <w:rPr>
          <w:szCs w:val="24"/>
        </w:rPr>
        <w:t>.</w:t>
      </w:r>
    </w:p>
    <w:p w14:paraId="4D01CB1E" w14:textId="77777777" w:rsidR="009E461B" w:rsidRDefault="009E461B" w:rsidP="009E461B">
      <w:pPr>
        <w:ind w:left="851" w:hanging="851"/>
        <w:rPr>
          <w:szCs w:val="24"/>
        </w:rPr>
      </w:pPr>
    </w:p>
    <w:p w14:paraId="58DA1DE1" w14:textId="33831AE6" w:rsidR="009E461B" w:rsidRPr="00574B8E" w:rsidRDefault="009E461B" w:rsidP="00506200">
      <w:pPr>
        <w:ind w:left="900" w:hanging="851"/>
        <w:rPr>
          <w:rFonts w:cs="Arial"/>
        </w:rPr>
      </w:pPr>
      <w:r>
        <w:rPr>
          <w:szCs w:val="24"/>
        </w:rPr>
        <w:tab/>
      </w:r>
      <w:r w:rsidRPr="6447A6AC">
        <w:t>In exceptional cases</w:t>
      </w:r>
      <w:r w:rsidR="001350A2">
        <w:rPr>
          <w:szCs w:val="24"/>
        </w:rPr>
        <w:t>,</w:t>
      </w:r>
      <w:r w:rsidRPr="6447A6AC">
        <w:t xml:space="preserve"> </w:t>
      </w:r>
      <w:r w:rsidR="00BF7747">
        <w:t xml:space="preserve">where </w:t>
      </w:r>
      <w:r w:rsidRPr="6447A6AC">
        <w:t xml:space="preserve">an </w:t>
      </w:r>
      <w:r w:rsidR="003A4E00">
        <w:t xml:space="preserve">External </w:t>
      </w:r>
      <w:r w:rsidRPr="6447A6AC">
        <w:t xml:space="preserve">Examiner </w:t>
      </w:r>
      <w:r w:rsidR="00BF7747">
        <w:t>has</w:t>
      </w:r>
      <w:r w:rsidRPr="6447A6AC">
        <w:t xml:space="preserve"> a serious concern about academic standard</w:t>
      </w:r>
      <w:r w:rsidR="001350A2" w:rsidRPr="6447A6AC">
        <w:t>s</w:t>
      </w:r>
      <w:r w:rsidRPr="6447A6AC">
        <w:t xml:space="preserve"> and the quality of provision that cannot be resolved </w:t>
      </w:r>
      <w:r w:rsidR="00525720" w:rsidRPr="6447A6AC">
        <w:t>by the School</w:t>
      </w:r>
      <w:r w:rsidR="002D343A" w:rsidRPr="6447A6AC">
        <w:t>/Partner</w:t>
      </w:r>
      <w:r w:rsidR="00525720">
        <w:rPr>
          <w:szCs w:val="24"/>
        </w:rPr>
        <w:t xml:space="preserve"> </w:t>
      </w:r>
      <w:r w:rsidRPr="6447A6AC">
        <w:t>through the normal reporting process</w:t>
      </w:r>
      <w:r w:rsidR="00BF7747">
        <w:t>,</w:t>
      </w:r>
      <w:r w:rsidR="00F65254" w:rsidRPr="6447A6AC">
        <w:rPr>
          <w:rStyle w:val="normaltextrun"/>
          <w:rFonts w:cs="Arial"/>
          <w:shd w:val="clear" w:color="auto" w:fill="FFFFFF"/>
        </w:rPr>
        <w:t xml:space="preserve"> the School</w:t>
      </w:r>
      <w:r w:rsidR="006C6589" w:rsidRPr="6447A6AC">
        <w:rPr>
          <w:rStyle w:val="normaltextrun"/>
          <w:rFonts w:cs="Arial"/>
          <w:shd w:val="clear" w:color="auto" w:fill="FFFFFF"/>
        </w:rPr>
        <w:t>/Partner</w:t>
      </w:r>
      <w:r w:rsidR="00C52B98" w:rsidRPr="6447A6AC">
        <w:rPr>
          <w:rStyle w:val="normaltextrun"/>
          <w:rFonts w:cs="Arial"/>
          <w:shd w:val="clear" w:color="auto" w:fill="FFFFFF"/>
        </w:rPr>
        <w:t xml:space="preserve">, SLAR and </w:t>
      </w:r>
      <w:r w:rsidR="002A5EC4" w:rsidRPr="6447A6AC">
        <w:rPr>
          <w:rStyle w:val="normaltextrun"/>
          <w:rFonts w:cs="Arial"/>
          <w:shd w:val="clear" w:color="auto" w:fill="FFFFFF"/>
        </w:rPr>
        <w:t xml:space="preserve">the </w:t>
      </w:r>
      <w:r w:rsidR="003A4E00">
        <w:rPr>
          <w:rStyle w:val="normaltextrun"/>
          <w:rFonts w:cs="Arial"/>
          <w:shd w:val="clear" w:color="auto" w:fill="FFFFFF"/>
        </w:rPr>
        <w:t xml:space="preserve">External </w:t>
      </w:r>
      <w:r w:rsidRPr="6447A6AC">
        <w:rPr>
          <w:rStyle w:val="normaltextrun"/>
          <w:rFonts w:cs="Arial"/>
          <w:shd w:val="clear" w:color="auto" w:fill="FFFFFF"/>
        </w:rPr>
        <w:t xml:space="preserve">Examiner </w:t>
      </w:r>
      <w:r w:rsidR="00C52B98" w:rsidRPr="6447A6AC">
        <w:rPr>
          <w:rStyle w:val="normaltextrun"/>
          <w:rFonts w:cs="Arial"/>
          <w:shd w:val="clear" w:color="auto" w:fill="FFFFFF"/>
        </w:rPr>
        <w:t xml:space="preserve">will </w:t>
      </w:r>
      <w:r w:rsidR="00243A0A" w:rsidRPr="6447A6AC">
        <w:rPr>
          <w:rStyle w:val="normaltextrun"/>
          <w:rFonts w:cs="Arial"/>
          <w:shd w:val="clear" w:color="auto" w:fill="FFFFFF"/>
        </w:rPr>
        <w:t>agree</w:t>
      </w:r>
      <w:r w:rsidR="00C52B98" w:rsidRPr="6447A6AC">
        <w:rPr>
          <w:rStyle w:val="normaltextrun"/>
          <w:rFonts w:cs="Arial"/>
          <w:shd w:val="clear" w:color="auto" w:fill="FFFFFF"/>
        </w:rPr>
        <w:t xml:space="preserve"> a resolution</w:t>
      </w:r>
      <w:r w:rsidR="00AB67EF" w:rsidRPr="6447A6AC">
        <w:rPr>
          <w:rStyle w:val="normaltextrun"/>
          <w:rFonts w:cs="Arial"/>
          <w:shd w:val="clear" w:color="auto" w:fill="FFFFFF"/>
        </w:rPr>
        <w:t xml:space="preserve">. </w:t>
      </w:r>
    </w:p>
    <w:p w14:paraId="637758DB" w14:textId="6643F191" w:rsidR="009E461B" w:rsidRDefault="009E461B" w:rsidP="00002240">
      <w:pPr>
        <w:ind w:left="851" w:hanging="851"/>
        <w:rPr>
          <w:szCs w:val="24"/>
        </w:rPr>
      </w:pPr>
    </w:p>
    <w:p w14:paraId="57973452" w14:textId="0A025B96" w:rsidR="005526A9" w:rsidRDefault="005526A9" w:rsidP="00506200">
      <w:pPr>
        <w:ind w:left="900" w:hanging="900"/>
        <w:rPr>
          <w:szCs w:val="24"/>
        </w:rPr>
      </w:pPr>
      <w:r>
        <w:rPr>
          <w:szCs w:val="24"/>
        </w:rPr>
        <w:lastRenderedPageBreak/>
        <w:tab/>
      </w:r>
      <w:r w:rsidRPr="6447A6AC">
        <w:t xml:space="preserve">If an </w:t>
      </w:r>
      <w:r w:rsidR="003A4E00">
        <w:t xml:space="preserve">External </w:t>
      </w:r>
      <w:r w:rsidRPr="6447A6AC">
        <w:t xml:space="preserve">Examiner </w:t>
      </w:r>
      <w:r w:rsidR="00245ABB" w:rsidRPr="6447A6AC">
        <w:t xml:space="preserve">considers </w:t>
      </w:r>
      <w:r w:rsidR="00942E9B" w:rsidRPr="6447A6AC">
        <w:t>a</w:t>
      </w:r>
      <w:r w:rsidR="00245ABB">
        <w:rPr>
          <w:szCs w:val="24"/>
        </w:rPr>
        <w:t xml:space="preserve"> </w:t>
      </w:r>
      <w:r w:rsidR="00245ABB" w:rsidRPr="6447A6AC">
        <w:t xml:space="preserve">concern </w:t>
      </w:r>
      <w:r w:rsidR="00676A30">
        <w:t xml:space="preserve">so significant </w:t>
      </w:r>
      <w:r w:rsidR="00942E9B" w:rsidRPr="6447A6AC">
        <w:t xml:space="preserve">that </w:t>
      </w:r>
      <w:r w:rsidR="008871F2">
        <w:t xml:space="preserve">it </w:t>
      </w:r>
      <w:r w:rsidR="00942E9B" w:rsidRPr="6447A6AC">
        <w:t>poses a risk to academic standards</w:t>
      </w:r>
      <w:r w:rsidR="00245ABB">
        <w:t>,</w:t>
      </w:r>
      <w:r w:rsidR="00245ABB" w:rsidRPr="6447A6AC">
        <w:t xml:space="preserve"> and </w:t>
      </w:r>
      <w:r w:rsidR="008871F2">
        <w:t>they have</w:t>
      </w:r>
      <w:r w:rsidR="006B2494" w:rsidRPr="6447A6AC">
        <w:t xml:space="preserve"> exhausted all internal procedures, including writing </w:t>
      </w:r>
      <w:r w:rsidR="00E56CE2" w:rsidRPr="6447A6AC">
        <w:t xml:space="preserve">in confidence </w:t>
      </w:r>
      <w:r w:rsidR="006B2494" w:rsidRPr="6447A6AC">
        <w:t>to the</w:t>
      </w:r>
      <w:r w:rsidR="00AE39C0">
        <w:rPr>
          <w:szCs w:val="24"/>
        </w:rPr>
        <w:t xml:space="preserve"> </w:t>
      </w:r>
      <w:r w:rsidR="005E0CE5" w:rsidRPr="6447A6AC">
        <w:t>Vice-Chancellor</w:t>
      </w:r>
      <w:r w:rsidR="005E0CE5">
        <w:t xml:space="preserve"> (or nominee)</w:t>
      </w:r>
      <w:r w:rsidR="005E0CE5" w:rsidRPr="6447A6AC">
        <w:t xml:space="preserve">, they may </w:t>
      </w:r>
      <w:r w:rsidR="00B356B4" w:rsidRPr="6447A6AC">
        <w:t>raise the</w:t>
      </w:r>
      <w:r w:rsidR="00D61663" w:rsidRPr="6447A6AC">
        <w:t xml:space="preserve"> matter with</w:t>
      </w:r>
      <w:r w:rsidR="005E0CE5" w:rsidRPr="6447A6AC">
        <w:t xml:space="preserve"> the Office for Students (OfS)</w:t>
      </w:r>
      <w:r w:rsidR="00D61663">
        <w:rPr>
          <w:szCs w:val="24"/>
        </w:rPr>
        <w:t>.</w:t>
      </w:r>
    </w:p>
    <w:p w14:paraId="64CE25B3" w14:textId="77777777" w:rsidR="009B7B23" w:rsidRDefault="009B7B23" w:rsidP="00506200">
      <w:pPr>
        <w:ind w:left="900" w:hanging="900"/>
        <w:rPr>
          <w:szCs w:val="24"/>
        </w:rPr>
      </w:pPr>
    </w:p>
    <w:p w14:paraId="521CF359" w14:textId="77777777" w:rsidR="009B7B23" w:rsidRDefault="009B7B23" w:rsidP="00506200">
      <w:pPr>
        <w:ind w:left="900" w:hanging="900"/>
      </w:pPr>
    </w:p>
    <w:p w14:paraId="2321E91C" w14:textId="3C68F88C" w:rsidR="003F2E9A" w:rsidRPr="00506200" w:rsidRDefault="00A02237" w:rsidP="00506200">
      <w:pPr>
        <w:pStyle w:val="Heading1"/>
      </w:pPr>
      <w:bookmarkStart w:id="15" w:name="_Toc134519921"/>
      <w:r w:rsidRPr="00506200">
        <w:t>7</w:t>
      </w:r>
      <w:r w:rsidR="003F2E9A" w:rsidRPr="00506200">
        <w:t>.</w:t>
      </w:r>
      <w:r w:rsidR="003F2E9A" w:rsidRPr="00506200">
        <w:tab/>
      </w:r>
      <w:r w:rsidR="00895077" w:rsidRPr="00506200">
        <w:t>Fees and Expenses</w:t>
      </w:r>
      <w:bookmarkEnd w:id="15"/>
    </w:p>
    <w:p w14:paraId="6D70A26F" w14:textId="76BBB45F" w:rsidR="00892996" w:rsidRDefault="00892996" w:rsidP="00002240">
      <w:pPr>
        <w:ind w:left="851" w:hanging="851"/>
        <w:rPr>
          <w:szCs w:val="24"/>
        </w:rPr>
      </w:pPr>
    </w:p>
    <w:p w14:paraId="1A039567" w14:textId="0ADA0CF6" w:rsidR="00396986" w:rsidRPr="00506200" w:rsidRDefault="00A02237" w:rsidP="00506200">
      <w:pPr>
        <w:pStyle w:val="Heading2"/>
      </w:pPr>
      <w:bookmarkStart w:id="16" w:name="_Toc134519922"/>
      <w:r w:rsidRPr="00506200">
        <w:t>7</w:t>
      </w:r>
      <w:r w:rsidR="007B6AD8" w:rsidRPr="00506200">
        <w:t>.1</w:t>
      </w:r>
      <w:r w:rsidR="007B6AD8" w:rsidRPr="00506200">
        <w:tab/>
        <w:t>Fees</w:t>
      </w:r>
      <w:r w:rsidR="00E567D1" w:rsidRPr="00506200">
        <w:t xml:space="preserve"> and Honorarium </w:t>
      </w:r>
      <w:r w:rsidR="00736BE9" w:rsidRPr="00506200">
        <w:t>Scheme</w:t>
      </w:r>
      <w:bookmarkEnd w:id="16"/>
    </w:p>
    <w:p w14:paraId="60556211" w14:textId="77777777" w:rsidR="00396986" w:rsidRDefault="00396986" w:rsidP="00002240">
      <w:pPr>
        <w:ind w:left="851" w:hanging="851"/>
        <w:rPr>
          <w:szCs w:val="24"/>
        </w:rPr>
      </w:pPr>
    </w:p>
    <w:p w14:paraId="0612C3F4" w14:textId="0CB75F77" w:rsidR="00547726" w:rsidRDefault="009F4512" w:rsidP="00506200">
      <w:pPr>
        <w:ind w:left="900" w:hanging="900"/>
      </w:pPr>
      <w:r>
        <w:rPr>
          <w:szCs w:val="24"/>
        </w:rPr>
        <w:tab/>
      </w:r>
      <w:r w:rsidR="005E09C1" w:rsidRPr="63DF70D2">
        <w:t xml:space="preserve">All </w:t>
      </w:r>
      <w:r w:rsidR="003A4E00">
        <w:t xml:space="preserve">External </w:t>
      </w:r>
      <w:r w:rsidR="005E09C1" w:rsidRPr="63DF70D2">
        <w:t xml:space="preserve">Examiners will be paid a one-off annual fee, </w:t>
      </w:r>
      <w:r w:rsidR="00DB46B9">
        <w:t xml:space="preserve">normally </w:t>
      </w:r>
      <w:r w:rsidR="005E09C1" w:rsidRPr="63DF70D2">
        <w:t xml:space="preserve">following submission of </w:t>
      </w:r>
      <w:r w:rsidR="00DB46B9">
        <w:t>the</w:t>
      </w:r>
      <w:r w:rsidR="005E09C1" w:rsidRPr="63DF70D2">
        <w:t xml:space="preserve"> Report</w:t>
      </w:r>
      <w:r w:rsidR="007D5B1C" w:rsidRPr="63DF70D2">
        <w:t xml:space="preserve">. </w:t>
      </w:r>
      <w:r w:rsidR="00547726" w:rsidRPr="63DF70D2">
        <w:t xml:space="preserve">If an </w:t>
      </w:r>
      <w:r w:rsidR="003A4E00">
        <w:t xml:space="preserve">External </w:t>
      </w:r>
      <w:r w:rsidR="00547726" w:rsidRPr="63DF70D2">
        <w:t xml:space="preserve">Examiner submits more than one report per academic </w:t>
      </w:r>
      <w:r w:rsidR="00DB74D1" w:rsidRPr="63DF70D2">
        <w:t>year,</w:t>
      </w:r>
      <w:r w:rsidR="00547726" w:rsidRPr="63DF70D2">
        <w:t xml:space="preserve"> they will only receive one fee payment per year</w:t>
      </w:r>
      <w:r w:rsidR="007D5B1C" w:rsidRPr="63DF70D2">
        <w:t>.</w:t>
      </w:r>
      <w:r w:rsidR="007D5B1C">
        <w:t xml:space="preserve"> </w:t>
      </w:r>
      <w:r w:rsidR="000A330F" w:rsidRPr="5E701C7A">
        <w:rPr>
          <w:rFonts w:cs="Arial"/>
        </w:rPr>
        <w:t>All fees are subject to PAYE tax</w:t>
      </w:r>
      <w:r w:rsidR="000A330F">
        <w:rPr>
          <w:rFonts w:cs="Arial"/>
        </w:rPr>
        <w:t>.</w:t>
      </w:r>
    </w:p>
    <w:p w14:paraId="7CE7599C" w14:textId="5265A28B" w:rsidR="005E09C1" w:rsidRDefault="005E09C1" w:rsidP="00547726">
      <w:pPr>
        <w:rPr>
          <w:szCs w:val="24"/>
        </w:rPr>
      </w:pPr>
    </w:p>
    <w:p w14:paraId="2019857D" w14:textId="0DC8B1D9" w:rsidR="005E09C1" w:rsidRDefault="005E09C1" w:rsidP="00506200">
      <w:pPr>
        <w:ind w:left="900" w:hanging="851"/>
        <w:rPr>
          <w:szCs w:val="24"/>
        </w:rPr>
      </w:pPr>
      <w:r>
        <w:rPr>
          <w:szCs w:val="24"/>
        </w:rPr>
        <w:tab/>
        <w:t xml:space="preserve">The fee band is determined </w:t>
      </w:r>
      <w:r w:rsidR="003A778C">
        <w:rPr>
          <w:szCs w:val="24"/>
        </w:rPr>
        <w:t xml:space="preserve">by the nominating School </w:t>
      </w:r>
      <w:r>
        <w:rPr>
          <w:szCs w:val="24"/>
        </w:rPr>
        <w:t xml:space="preserve">at appointment and </w:t>
      </w:r>
      <w:r w:rsidR="00DC67DB">
        <w:rPr>
          <w:szCs w:val="24"/>
        </w:rPr>
        <w:t xml:space="preserve">is based on </w:t>
      </w:r>
      <w:r w:rsidR="008F59DC">
        <w:rPr>
          <w:szCs w:val="24"/>
        </w:rPr>
        <w:t xml:space="preserve">the volume of work that an </w:t>
      </w:r>
      <w:r w:rsidR="004D1D20">
        <w:rPr>
          <w:szCs w:val="24"/>
        </w:rPr>
        <w:t xml:space="preserve">External </w:t>
      </w:r>
      <w:r w:rsidR="008F59DC">
        <w:rPr>
          <w:szCs w:val="24"/>
        </w:rPr>
        <w:t>Examiner has been appointed to undertake.</w:t>
      </w:r>
    </w:p>
    <w:p w14:paraId="4E593E18" w14:textId="50B00F56" w:rsidR="00BC4859" w:rsidRDefault="00BC4859" w:rsidP="00DC3D90">
      <w:pPr>
        <w:ind w:left="851" w:hanging="851"/>
        <w:rPr>
          <w:szCs w:val="24"/>
        </w:rPr>
      </w:pPr>
    </w:p>
    <w:p w14:paraId="5746C928" w14:textId="3DEF23C7" w:rsidR="006B603F" w:rsidRPr="001C0002" w:rsidRDefault="00547726" w:rsidP="00506200">
      <w:pPr>
        <w:ind w:left="900" w:right="-1" w:hanging="900"/>
        <w:rPr>
          <w:rFonts w:cs="Arial"/>
          <w:bCs/>
        </w:rPr>
      </w:pPr>
      <w:r>
        <w:rPr>
          <w:szCs w:val="24"/>
        </w:rPr>
        <w:tab/>
      </w:r>
      <w:r w:rsidR="006B603F" w:rsidRPr="001B39F4">
        <w:rPr>
          <w:rFonts w:cs="Arial"/>
        </w:rPr>
        <w:t xml:space="preserve">The External Examiner Honorarium </w:t>
      </w:r>
      <w:r w:rsidR="00736BE9" w:rsidRPr="001B39F4">
        <w:rPr>
          <w:rFonts w:cs="Arial"/>
        </w:rPr>
        <w:t>Scheme</w:t>
      </w:r>
      <w:r w:rsidR="00E567D1" w:rsidRPr="001B39F4">
        <w:rPr>
          <w:rFonts w:cs="Arial"/>
        </w:rPr>
        <w:t xml:space="preserve"> </w:t>
      </w:r>
      <w:r w:rsidR="006B603F" w:rsidRPr="001B39F4">
        <w:rPr>
          <w:rFonts w:cs="Arial"/>
        </w:rPr>
        <w:t>can be used in exceptional circumstances where an External Examiner is required to undertake work outside their normal duties</w:t>
      </w:r>
      <w:r w:rsidR="007D5B1C" w:rsidRPr="001B39F4">
        <w:rPr>
          <w:rFonts w:cs="Arial"/>
        </w:rPr>
        <w:t xml:space="preserve">. </w:t>
      </w:r>
      <w:r w:rsidR="006B603F" w:rsidRPr="001B39F4">
        <w:rPr>
          <w:rFonts w:cs="Arial"/>
        </w:rPr>
        <w:t>An honorarium payment should only be used to cover one assessment period</w:t>
      </w:r>
      <w:r w:rsidR="007D5B1C">
        <w:rPr>
          <w:rFonts w:cs="Arial"/>
        </w:rPr>
        <w:t xml:space="preserve">. </w:t>
      </w:r>
      <w:r w:rsidR="008871F2">
        <w:rPr>
          <w:rFonts w:cs="Arial"/>
        </w:rPr>
        <w:t>I</w:t>
      </w:r>
      <w:r w:rsidR="00FF4840" w:rsidRPr="001B39F4">
        <w:rPr>
          <w:rFonts w:cs="Arial"/>
        </w:rPr>
        <w:t>f this is likely to be exceeded</w:t>
      </w:r>
      <w:r w:rsidR="006B603F" w:rsidRPr="001B39F4">
        <w:rPr>
          <w:rFonts w:cs="Arial"/>
        </w:rPr>
        <w:t xml:space="preserve">, a Change of Duties </w:t>
      </w:r>
      <w:r w:rsidR="009E5DF0" w:rsidRPr="001B39F4">
        <w:rPr>
          <w:rFonts w:cs="Arial"/>
        </w:rPr>
        <w:t>will</w:t>
      </w:r>
      <w:r w:rsidR="006B603F" w:rsidRPr="001B39F4">
        <w:rPr>
          <w:rFonts w:cs="Arial"/>
        </w:rPr>
        <w:t xml:space="preserve"> be pro</w:t>
      </w:r>
      <w:r w:rsidR="0068086C" w:rsidRPr="001B39F4">
        <w:rPr>
          <w:rFonts w:cs="Arial"/>
        </w:rPr>
        <w:t>gressed</w:t>
      </w:r>
      <w:r w:rsidR="006B603F" w:rsidRPr="001B39F4">
        <w:rPr>
          <w:rFonts w:cs="Arial"/>
        </w:rPr>
        <w:t xml:space="preserve"> via the normal process</w:t>
      </w:r>
      <w:r w:rsidR="009E5DF0" w:rsidRPr="001B39F4">
        <w:rPr>
          <w:rFonts w:cs="Arial"/>
        </w:rPr>
        <w:t>.</w:t>
      </w:r>
    </w:p>
    <w:p w14:paraId="519FEE27" w14:textId="4F4B0664" w:rsidR="006B603F" w:rsidRDefault="006B603F" w:rsidP="006B603F">
      <w:pPr>
        <w:ind w:left="900" w:right="-1" w:hanging="900"/>
        <w:rPr>
          <w:rFonts w:cs="Arial"/>
        </w:rPr>
      </w:pPr>
    </w:p>
    <w:p w14:paraId="276F27F1" w14:textId="649466F0" w:rsidR="00B34B55" w:rsidRDefault="00B34B55" w:rsidP="00506200">
      <w:pPr>
        <w:ind w:left="900" w:hanging="900"/>
        <w:rPr>
          <w:szCs w:val="24"/>
        </w:rPr>
      </w:pPr>
      <w:r>
        <w:rPr>
          <w:szCs w:val="24"/>
        </w:rPr>
        <w:tab/>
        <w:t xml:space="preserve">If an </w:t>
      </w:r>
      <w:r w:rsidR="004D1D20">
        <w:rPr>
          <w:szCs w:val="24"/>
        </w:rPr>
        <w:t xml:space="preserve">External </w:t>
      </w:r>
      <w:r>
        <w:rPr>
          <w:szCs w:val="24"/>
        </w:rPr>
        <w:t>Examiner formally changes their duties within their tenure period, the fee will be reviewed and adjusted accordingly.</w:t>
      </w:r>
      <w:r w:rsidR="0056690B">
        <w:rPr>
          <w:szCs w:val="24"/>
        </w:rPr>
        <w:t xml:space="preserve"> This includes </w:t>
      </w:r>
      <w:r w:rsidR="00841B6F">
        <w:rPr>
          <w:szCs w:val="24"/>
        </w:rPr>
        <w:t>changes in duties arising from course reviews and modifications</w:t>
      </w:r>
      <w:r w:rsidR="00527196">
        <w:rPr>
          <w:szCs w:val="24"/>
        </w:rPr>
        <w:t>.</w:t>
      </w:r>
    </w:p>
    <w:p w14:paraId="6FA521E3" w14:textId="77777777" w:rsidR="00B34B55" w:rsidRPr="00574B8E" w:rsidRDefault="00B34B55" w:rsidP="006B603F">
      <w:pPr>
        <w:ind w:left="900" w:right="-1" w:hanging="900"/>
        <w:rPr>
          <w:rFonts w:cs="Arial"/>
        </w:rPr>
      </w:pPr>
    </w:p>
    <w:p w14:paraId="3CBC3C62" w14:textId="3B4B86F5" w:rsidR="00157D8F" w:rsidRDefault="006B603F" w:rsidP="00506200">
      <w:pPr>
        <w:pStyle w:val="ListParagraph"/>
        <w:ind w:left="900"/>
        <w:rPr>
          <w:rFonts w:cs="Arial"/>
        </w:rPr>
      </w:pPr>
      <w:r w:rsidRPr="00574B8E">
        <w:rPr>
          <w:rFonts w:cs="Arial"/>
        </w:rPr>
        <w:t>External Examiners</w:t>
      </w:r>
      <w:r w:rsidR="00825067">
        <w:rPr>
          <w:rFonts w:cs="Arial"/>
        </w:rPr>
        <w:t xml:space="preserve">, who have been appointed as a mentor, </w:t>
      </w:r>
      <w:r w:rsidR="00664575">
        <w:rPr>
          <w:rFonts w:cs="Arial"/>
        </w:rPr>
        <w:t xml:space="preserve">will be paid a </w:t>
      </w:r>
      <w:r w:rsidRPr="00574B8E">
        <w:rPr>
          <w:rFonts w:cs="Arial"/>
        </w:rPr>
        <w:t>one-off mentoring fee</w:t>
      </w:r>
      <w:r w:rsidRPr="006B603F">
        <w:rPr>
          <w:rFonts w:cs="Arial"/>
        </w:rPr>
        <w:t xml:space="preserve">. </w:t>
      </w:r>
    </w:p>
    <w:p w14:paraId="5B852E6F" w14:textId="77777777" w:rsidR="00662AD5" w:rsidRDefault="00662AD5" w:rsidP="00506200">
      <w:pPr>
        <w:pStyle w:val="ListParagraph"/>
        <w:ind w:left="900"/>
        <w:rPr>
          <w:rFonts w:cs="Arial"/>
        </w:rPr>
      </w:pPr>
    </w:p>
    <w:p w14:paraId="7EF19BB5" w14:textId="5643DC9B" w:rsidR="00547726" w:rsidRDefault="006B603F" w:rsidP="00506200">
      <w:pPr>
        <w:ind w:left="900" w:right="-1"/>
        <w:rPr>
          <w:rFonts w:cs="Arial"/>
        </w:rPr>
      </w:pPr>
      <w:r w:rsidRPr="58A98AB7">
        <w:rPr>
          <w:rFonts w:cs="Arial"/>
        </w:rPr>
        <w:t xml:space="preserve">If a course(s) closes before the end of an External Examiner’s tenure, the External Examiner will be notified, and </w:t>
      </w:r>
      <w:r w:rsidR="000E0F41" w:rsidRPr="58A98AB7">
        <w:rPr>
          <w:rFonts w:cs="Arial"/>
        </w:rPr>
        <w:t xml:space="preserve">will </w:t>
      </w:r>
      <w:r w:rsidRPr="58A98AB7">
        <w:rPr>
          <w:rFonts w:cs="Arial"/>
        </w:rPr>
        <w:t xml:space="preserve">no longer be paid the annual fee </w:t>
      </w:r>
      <w:r w:rsidR="00DD0319">
        <w:rPr>
          <w:rFonts w:cs="Arial"/>
        </w:rPr>
        <w:t>for the remainder of the tenure period</w:t>
      </w:r>
      <w:r w:rsidR="0028382D">
        <w:rPr>
          <w:rFonts w:cs="Arial"/>
        </w:rPr>
        <w:t>.</w:t>
      </w:r>
      <w:r w:rsidRPr="58A98AB7">
        <w:rPr>
          <w:rFonts w:cs="Arial"/>
        </w:rPr>
        <w:t xml:space="preserve"> </w:t>
      </w:r>
    </w:p>
    <w:p w14:paraId="32AA4DA3" w14:textId="4A712A53" w:rsidR="007B6AD8" w:rsidRDefault="007B6AD8" w:rsidP="00157D8F">
      <w:pPr>
        <w:ind w:left="900" w:right="-1" w:hanging="900"/>
        <w:rPr>
          <w:rFonts w:cs="Arial"/>
        </w:rPr>
      </w:pPr>
    </w:p>
    <w:p w14:paraId="72719042" w14:textId="4A5BFAA0" w:rsidR="007B6AD8" w:rsidRPr="00506200" w:rsidRDefault="00A02237" w:rsidP="00506200">
      <w:pPr>
        <w:pStyle w:val="Heading2"/>
      </w:pPr>
      <w:bookmarkStart w:id="17" w:name="_Toc134519923"/>
      <w:r w:rsidRPr="00506200">
        <w:t>7</w:t>
      </w:r>
      <w:r w:rsidR="007B6AD8" w:rsidRPr="00506200">
        <w:t>.2</w:t>
      </w:r>
      <w:r w:rsidR="007B6AD8" w:rsidRPr="00506200">
        <w:tab/>
        <w:t>Expenses</w:t>
      </w:r>
      <w:bookmarkEnd w:id="17"/>
    </w:p>
    <w:p w14:paraId="622AAE9A" w14:textId="10F4CE16" w:rsidR="00C43720" w:rsidRDefault="00C43720" w:rsidP="00002240">
      <w:pPr>
        <w:ind w:left="851" w:hanging="851"/>
        <w:rPr>
          <w:szCs w:val="24"/>
        </w:rPr>
      </w:pPr>
    </w:p>
    <w:p w14:paraId="1A92CCDB" w14:textId="30ED6D6B" w:rsidR="007B6AD8" w:rsidRDefault="007B6AD8" w:rsidP="00506200">
      <w:pPr>
        <w:ind w:left="900" w:hanging="900"/>
        <w:rPr>
          <w:szCs w:val="24"/>
        </w:rPr>
      </w:pPr>
      <w:r>
        <w:rPr>
          <w:szCs w:val="24"/>
        </w:rPr>
        <w:tab/>
      </w:r>
      <w:r w:rsidR="00BF5083">
        <w:rPr>
          <w:szCs w:val="24"/>
        </w:rPr>
        <w:t>Scho</w:t>
      </w:r>
      <w:r w:rsidR="00A77722">
        <w:rPr>
          <w:szCs w:val="24"/>
        </w:rPr>
        <w:t>ols</w:t>
      </w:r>
      <w:r w:rsidR="00BF5083">
        <w:rPr>
          <w:szCs w:val="24"/>
        </w:rPr>
        <w:t xml:space="preserve"> will agree with External Examiner</w:t>
      </w:r>
      <w:r w:rsidR="00676A30">
        <w:rPr>
          <w:szCs w:val="24"/>
        </w:rPr>
        <w:t>s</w:t>
      </w:r>
      <w:r w:rsidR="00BF5083">
        <w:rPr>
          <w:szCs w:val="24"/>
        </w:rPr>
        <w:t xml:space="preserve"> what reasonable expenses may be incurred at the start of the</w:t>
      </w:r>
      <w:r w:rsidR="00551555">
        <w:rPr>
          <w:szCs w:val="24"/>
        </w:rPr>
        <w:t xml:space="preserve"> tenure period.</w:t>
      </w:r>
    </w:p>
    <w:p w14:paraId="78113CF4" w14:textId="485C5A12" w:rsidR="00551555" w:rsidRDefault="00551555" w:rsidP="00002240">
      <w:pPr>
        <w:ind w:left="851" w:hanging="851"/>
        <w:rPr>
          <w:szCs w:val="24"/>
        </w:rPr>
      </w:pPr>
    </w:p>
    <w:p w14:paraId="19F84114" w14:textId="5502C817" w:rsidR="00551555" w:rsidRDefault="00551555" w:rsidP="00506200">
      <w:pPr>
        <w:ind w:left="900" w:hanging="900"/>
      </w:pPr>
      <w:r>
        <w:rPr>
          <w:szCs w:val="24"/>
        </w:rPr>
        <w:tab/>
      </w:r>
      <w:r w:rsidR="00A74756" w:rsidRPr="5E701C7A">
        <w:rPr>
          <w:rFonts w:cs="Arial"/>
        </w:rPr>
        <w:t>The External Examiner must submit their Expense Claim Form</w:t>
      </w:r>
      <w:r w:rsidR="00664575">
        <w:rPr>
          <w:rFonts w:cs="Arial"/>
        </w:rPr>
        <w:t>, together with receipts,</w:t>
      </w:r>
      <w:r w:rsidR="00B80AEF" w:rsidRPr="5E701C7A">
        <w:rPr>
          <w:rFonts w:cs="Arial"/>
        </w:rPr>
        <w:t xml:space="preserve"> to the School</w:t>
      </w:r>
      <w:r w:rsidR="00A74756" w:rsidRPr="5E701C7A">
        <w:rPr>
          <w:rFonts w:cs="Arial"/>
        </w:rPr>
        <w:t>, within one month of incurring such expenses.</w:t>
      </w:r>
    </w:p>
    <w:p w14:paraId="2B050B2D" w14:textId="77777777" w:rsidR="00A4788F" w:rsidRDefault="00A4788F" w:rsidP="008033C7">
      <w:pPr>
        <w:rPr>
          <w:szCs w:val="24"/>
        </w:rPr>
      </w:pPr>
    </w:p>
    <w:p w14:paraId="1E99783A" w14:textId="77777777" w:rsidR="003F3CDF" w:rsidRDefault="003F3CDF" w:rsidP="00002240">
      <w:pPr>
        <w:ind w:left="851" w:hanging="851"/>
        <w:rPr>
          <w:szCs w:val="24"/>
        </w:rPr>
      </w:pPr>
    </w:p>
    <w:p w14:paraId="018EAE83" w14:textId="1FC23E0F" w:rsidR="00C43720" w:rsidRPr="00506200" w:rsidRDefault="00B433F1" w:rsidP="00506200">
      <w:pPr>
        <w:pStyle w:val="Heading1"/>
      </w:pPr>
      <w:bookmarkStart w:id="18" w:name="_Toc134519924"/>
      <w:r w:rsidRPr="00506200">
        <w:t>8</w:t>
      </w:r>
      <w:r w:rsidR="00DA754F" w:rsidRPr="00506200">
        <w:t>.</w:t>
      </w:r>
      <w:r w:rsidR="00DA754F" w:rsidRPr="00506200">
        <w:tab/>
      </w:r>
      <w:r w:rsidR="00895077" w:rsidRPr="00506200">
        <w:t>Information Provided to Students</w:t>
      </w:r>
      <w:bookmarkEnd w:id="18"/>
    </w:p>
    <w:p w14:paraId="5101718F" w14:textId="3DF8090D" w:rsidR="00DA754F" w:rsidRDefault="00DA754F" w:rsidP="00002240">
      <w:pPr>
        <w:ind w:left="851" w:hanging="851"/>
        <w:rPr>
          <w:szCs w:val="24"/>
        </w:rPr>
      </w:pPr>
    </w:p>
    <w:p w14:paraId="21D7F4A6" w14:textId="3FF0A0CD" w:rsidR="00C43720" w:rsidRDefault="00DA754F" w:rsidP="00506200">
      <w:pPr>
        <w:ind w:left="900" w:hanging="900"/>
        <w:rPr>
          <w:szCs w:val="24"/>
        </w:rPr>
      </w:pPr>
      <w:r>
        <w:rPr>
          <w:szCs w:val="24"/>
        </w:rPr>
        <w:tab/>
      </w:r>
      <w:r w:rsidR="00EE1FDA" w:rsidRPr="6447A6AC">
        <w:t>The</w:t>
      </w:r>
      <w:r w:rsidR="007C737A">
        <w:t xml:space="preserve"> External</w:t>
      </w:r>
      <w:r w:rsidR="00EE1FDA" w:rsidRPr="6447A6AC">
        <w:t xml:space="preserve"> Examiner</w:t>
      </w:r>
      <w:r w:rsidR="002319EF">
        <w:rPr>
          <w:szCs w:val="24"/>
        </w:rPr>
        <w:t>’</w:t>
      </w:r>
      <w:r w:rsidR="00EE1FDA" w:rsidRPr="6447A6AC">
        <w:t xml:space="preserve">s Annual Report (and School </w:t>
      </w:r>
      <w:r w:rsidR="000C3934" w:rsidRPr="6447A6AC">
        <w:t>r</w:t>
      </w:r>
      <w:r w:rsidR="00EE1FDA" w:rsidRPr="6447A6AC">
        <w:t>esponse in the case of a significant concern) will be made available to students via the</w:t>
      </w:r>
      <w:r w:rsidR="00C31133" w:rsidRPr="6447A6AC">
        <w:t xml:space="preserve"> University’s </w:t>
      </w:r>
      <w:r w:rsidR="003D77E4" w:rsidRPr="00A739DF">
        <w:t>e-Vision</w:t>
      </w:r>
      <w:r w:rsidR="00C31133" w:rsidRPr="6447A6AC">
        <w:t xml:space="preserve"> system</w:t>
      </w:r>
      <w:r w:rsidR="000E0D14">
        <w:rPr>
          <w:szCs w:val="24"/>
        </w:rPr>
        <w:t>.</w:t>
      </w:r>
    </w:p>
    <w:p w14:paraId="1C67ADEC" w14:textId="716AD60A" w:rsidR="00F50D6D" w:rsidRDefault="001614AD" w:rsidP="00506200">
      <w:pPr>
        <w:ind w:left="900" w:hanging="900"/>
      </w:pPr>
      <w:r>
        <w:rPr>
          <w:szCs w:val="24"/>
        </w:rPr>
        <w:lastRenderedPageBreak/>
        <w:tab/>
      </w:r>
      <w:r w:rsidR="00676A30">
        <w:t>A</w:t>
      </w:r>
      <w:r w:rsidR="00532395" w:rsidRPr="6447A6AC">
        <w:t xml:space="preserve"> standard statement </w:t>
      </w:r>
      <w:r w:rsidR="005E00E2" w:rsidRPr="6447A6AC">
        <w:t>regarding the role of the</w:t>
      </w:r>
      <w:r w:rsidR="007C737A">
        <w:t xml:space="preserve"> External</w:t>
      </w:r>
      <w:r w:rsidR="005E00E2" w:rsidRPr="6447A6AC">
        <w:t xml:space="preserve"> Examiner </w:t>
      </w:r>
      <w:r w:rsidR="00532395" w:rsidRPr="6447A6AC">
        <w:t>is included in all Course Handbooks, and External Examiner Reports are discussed at Student Voice Forums.</w:t>
      </w:r>
    </w:p>
    <w:p w14:paraId="110B55A6" w14:textId="6C1C53C9" w:rsidR="00746B5E" w:rsidRDefault="00746B5E" w:rsidP="00532395">
      <w:pPr>
        <w:ind w:left="851" w:hanging="851"/>
        <w:rPr>
          <w:szCs w:val="24"/>
        </w:rPr>
      </w:pPr>
    </w:p>
    <w:p w14:paraId="15C73717" w14:textId="1735D4BD" w:rsidR="00657E42" w:rsidRDefault="00657E42" w:rsidP="00506200">
      <w:pPr>
        <w:autoSpaceDE w:val="0"/>
        <w:autoSpaceDN w:val="0"/>
        <w:adjustRightInd w:val="0"/>
        <w:ind w:left="900"/>
        <w:rPr>
          <w:rFonts w:cs="Arial"/>
          <w:szCs w:val="24"/>
        </w:rPr>
      </w:pPr>
      <w:r w:rsidRPr="001F7E67">
        <w:rPr>
          <w:rFonts w:cs="Arial"/>
          <w:szCs w:val="24"/>
        </w:rPr>
        <w:t xml:space="preserve">Students must not attempt to contact an External Examiner and External Examiners are not permitted to respond to contacts made by third parties </w:t>
      </w:r>
      <w:r w:rsidRPr="00965D0B">
        <w:rPr>
          <w:rFonts w:cs="Arial"/>
          <w:szCs w:val="24"/>
        </w:rPr>
        <w:t>including students or their representatives</w:t>
      </w:r>
      <w:r w:rsidR="007D5B1C" w:rsidRPr="00965D0B">
        <w:rPr>
          <w:rFonts w:cs="Arial"/>
          <w:szCs w:val="24"/>
        </w:rPr>
        <w:t xml:space="preserve">. </w:t>
      </w:r>
      <w:r w:rsidR="00A069CD" w:rsidRPr="00965D0B">
        <w:rPr>
          <w:rFonts w:cs="Arial"/>
          <w:szCs w:val="24"/>
        </w:rPr>
        <w:t xml:space="preserve">If an </w:t>
      </w:r>
      <w:r w:rsidR="00AE3B46">
        <w:rPr>
          <w:rFonts w:cs="Arial"/>
          <w:szCs w:val="24"/>
        </w:rPr>
        <w:t xml:space="preserve">External </w:t>
      </w:r>
      <w:r w:rsidR="00A069CD" w:rsidRPr="00965D0B">
        <w:rPr>
          <w:rFonts w:cs="Arial"/>
          <w:szCs w:val="24"/>
        </w:rPr>
        <w:t>Examiner has been contacted b</w:t>
      </w:r>
      <w:r w:rsidR="00F86DD2" w:rsidRPr="00965D0B">
        <w:rPr>
          <w:rFonts w:cs="Arial"/>
          <w:szCs w:val="24"/>
        </w:rPr>
        <w:t xml:space="preserve">y </w:t>
      </w:r>
      <w:r w:rsidR="00965D0B" w:rsidRPr="00965D0B">
        <w:rPr>
          <w:rFonts w:cs="Arial"/>
          <w:szCs w:val="24"/>
        </w:rPr>
        <w:t xml:space="preserve">a </w:t>
      </w:r>
      <w:r w:rsidR="007B1055">
        <w:rPr>
          <w:rFonts w:cs="Arial"/>
          <w:szCs w:val="24"/>
        </w:rPr>
        <w:t xml:space="preserve">student or </w:t>
      </w:r>
      <w:r w:rsidR="00965D0B" w:rsidRPr="00965D0B">
        <w:rPr>
          <w:rFonts w:cs="Arial"/>
          <w:szCs w:val="24"/>
        </w:rPr>
        <w:t>third party,</w:t>
      </w:r>
      <w:r w:rsidR="00F86DD2" w:rsidRPr="00965D0B">
        <w:rPr>
          <w:rFonts w:cs="Arial"/>
          <w:szCs w:val="24"/>
        </w:rPr>
        <w:t xml:space="preserve"> they should r</w:t>
      </w:r>
      <w:r w:rsidR="00FF1B4C">
        <w:rPr>
          <w:rFonts w:cs="Arial"/>
          <w:szCs w:val="24"/>
        </w:rPr>
        <w:t>eport</w:t>
      </w:r>
      <w:r w:rsidR="00F86DD2" w:rsidRPr="00965D0B">
        <w:rPr>
          <w:rFonts w:cs="Arial"/>
          <w:szCs w:val="24"/>
        </w:rPr>
        <w:t xml:space="preserve"> the matter </w:t>
      </w:r>
      <w:r w:rsidR="00FF1B4C">
        <w:rPr>
          <w:rFonts w:cs="Arial"/>
          <w:szCs w:val="24"/>
        </w:rPr>
        <w:t>immediately to</w:t>
      </w:r>
      <w:r w:rsidR="00F86DD2" w:rsidRPr="00965D0B">
        <w:rPr>
          <w:rFonts w:cs="Arial"/>
          <w:szCs w:val="24"/>
        </w:rPr>
        <w:t xml:space="preserve"> their home School.</w:t>
      </w:r>
    </w:p>
    <w:p w14:paraId="311541AC" w14:textId="77777777" w:rsidR="003554E3" w:rsidRDefault="003554E3" w:rsidP="008627C6">
      <w:pPr>
        <w:autoSpaceDE w:val="0"/>
        <w:autoSpaceDN w:val="0"/>
        <w:adjustRightInd w:val="0"/>
        <w:rPr>
          <w:rFonts w:cs="Arial"/>
          <w:szCs w:val="24"/>
        </w:rPr>
      </w:pPr>
    </w:p>
    <w:p w14:paraId="6C693803" w14:textId="2407917E" w:rsidR="003554E3" w:rsidRPr="001F7E67" w:rsidRDefault="00114561" w:rsidP="00506200">
      <w:pPr>
        <w:autoSpaceDE w:val="0"/>
        <w:autoSpaceDN w:val="0"/>
        <w:adjustRightInd w:val="0"/>
        <w:ind w:left="900"/>
        <w:rPr>
          <w:szCs w:val="24"/>
        </w:rPr>
      </w:pPr>
      <w:r>
        <w:rPr>
          <w:rFonts w:cs="Arial"/>
          <w:szCs w:val="24"/>
        </w:rPr>
        <w:t>Students’ Union Sabbatical Officers will be present at Academic Board meeting</w:t>
      </w:r>
      <w:r w:rsidR="00333AB3">
        <w:rPr>
          <w:rFonts w:cs="Arial"/>
          <w:szCs w:val="24"/>
        </w:rPr>
        <w:t>s</w:t>
      </w:r>
      <w:r>
        <w:rPr>
          <w:rFonts w:cs="Arial"/>
          <w:szCs w:val="24"/>
        </w:rPr>
        <w:t xml:space="preserve"> where </w:t>
      </w:r>
      <w:r>
        <w:rPr>
          <w:szCs w:val="24"/>
        </w:rPr>
        <w:t xml:space="preserve">the </w:t>
      </w:r>
      <w:r w:rsidR="00EA0734">
        <w:rPr>
          <w:szCs w:val="24"/>
        </w:rPr>
        <w:t xml:space="preserve">annual </w:t>
      </w:r>
      <w:r>
        <w:rPr>
          <w:szCs w:val="24"/>
        </w:rPr>
        <w:t>outcomes of External Examiners’ reports and the resulting action plan</w:t>
      </w:r>
      <w:r w:rsidR="00EA0734">
        <w:rPr>
          <w:szCs w:val="24"/>
        </w:rPr>
        <w:t xml:space="preserve"> is discussed.</w:t>
      </w:r>
    </w:p>
    <w:p w14:paraId="27F8F9E5" w14:textId="3638D5F9" w:rsidR="00B433F1" w:rsidRDefault="00B433F1" w:rsidP="00E01121">
      <w:pPr>
        <w:rPr>
          <w:szCs w:val="24"/>
        </w:rPr>
      </w:pPr>
    </w:p>
    <w:p w14:paraId="3D7593C3" w14:textId="77777777" w:rsidR="008A1802" w:rsidRDefault="008A1802" w:rsidP="00B433F1">
      <w:pPr>
        <w:ind w:left="851" w:hanging="851"/>
        <w:rPr>
          <w:szCs w:val="24"/>
        </w:rPr>
      </w:pPr>
    </w:p>
    <w:p w14:paraId="15978AD4" w14:textId="2C90A0E8" w:rsidR="00B433F1" w:rsidRPr="007129C1" w:rsidRDefault="00B433F1" w:rsidP="007129C1">
      <w:pPr>
        <w:pStyle w:val="Heading1"/>
      </w:pPr>
      <w:bookmarkStart w:id="19" w:name="_Toc134519925"/>
      <w:r w:rsidRPr="007129C1">
        <w:t>9.</w:t>
      </w:r>
      <w:r w:rsidRPr="007129C1">
        <w:tab/>
      </w:r>
      <w:r w:rsidR="00895077" w:rsidRPr="007129C1">
        <w:t>Data Protection and Freedom of Information</w:t>
      </w:r>
      <w:bookmarkEnd w:id="19"/>
    </w:p>
    <w:p w14:paraId="71B5A92D" w14:textId="0A58DBD6" w:rsidR="00B433F1" w:rsidRDefault="00B433F1" w:rsidP="00B433F1">
      <w:pPr>
        <w:ind w:left="851" w:hanging="851"/>
        <w:rPr>
          <w:szCs w:val="24"/>
        </w:rPr>
      </w:pPr>
    </w:p>
    <w:p w14:paraId="0DF65352" w14:textId="36172AAF" w:rsidR="003F0A19" w:rsidRDefault="003F0A19" w:rsidP="00506200">
      <w:pPr>
        <w:ind w:left="900" w:hanging="900"/>
        <w:rPr>
          <w:szCs w:val="24"/>
        </w:rPr>
      </w:pPr>
      <w:r>
        <w:rPr>
          <w:szCs w:val="24"/>
        </w:rPr>
        <w:tab/>
      </w:r>
      <w:r w:rsidR="00C90D4E">
        <w:rPr>
          <w:szCs w:val="24"/>
        </w:rPr>
        <w:t>Data Protection L</w:t>
      </w:r>
      <w:r w:rsidR="00693305">
        <w:rPr>
          <w:szCs w:val="24"/>
        </w:rPr>
        <w:t>aw</w:t>
      </w:r>
      <w:r w:rsidR="00C90D4E">
        <w:rPr>
          <w:szCs w:val="24"/>
        </w:rPr>
        <w:t xml:space="preserve"> (DPL) regulates the processing of personal data, both as electronic and paper records</w:t>
      </w:r>
      <w:r w:rsidR="007D5B1C">
        <w:rPr>
          <w:szCs w:val="24"/>
        </w:rPr>
        <w:t xml:space="preserve">. </w:t>
      </w:r>
      <w:r w:rsidR="00C90D4E">
        <w:rPr>
          <w:szCs w:val="24"/>
        </w:rPr>
        <w:t xml:space="preserve">The University requires </w:t>
      </w:r>
      <w:r w:rsidR="00AE3B46">
        <w:rPr>
          <w:szCs w:val="24"/>
        </w:rPr>
        <w:t xml:space="preserve">External </w:t>
      </w:r>
      <w:r w:rsidR="00C90D4E">
        <w:rPr>
          <w:szCs w:val="24"/>
        </w:rPr>
        <w:t>Examiners to abide by the provisions within DPL.</w:t>
      </w:r>
    </w:p>
    <w:p w14:paraId="070F4702" w14:textId="7023D2FE" w:rsidR="00C90D4E" w:rsidRDefault="00C90D4E" w:rsidP="00B433F1">
      <w:pPr>
        <w:ind w:left="851" w:hanging="851"/>
        <w:rPr>
          <w:szCs w:val="24"/>
        </w:rPr>
      </w:pPr>
    </w:p>
    <w:p w14:paraId="29624E1D" w14:textId="7B91F08D" w:rsidR="00C90D4E" w:rsidRDefault="00C90D4E" w:rsidP="00506200">
      <w:pPr>
        <w:ind w:left="900" w:hanging="900"/>
        <w:rPr>
          <w:szCs w:val="24"/>
        </w:rPr>
      </w:pPr>
      <w:r>
        <w:rPr>
          <w:szCs w:val="24"/>
        </w:rPr>
        <w:tab/>
      </w:r>
      <w:r w:rsidR="00801E82">
        <w:rPr>
          <w:szCs w:val="24"/>
        </w:rPr>
        <w:t>All personal information supplied by External Examiners for the purposes of their appointment will be held securely</w:t>
      </w:r>
      <w:r w:rsidR="0014106D">
        <w:rPr>
          <w:szCs w:val="24"/>
        </w:rPr>
        <w:t xml:space="preserve">, </w:t>
      </w:r>
      <w:r w:rsidR="00801E82">
        <w:rPr>
          <w:szCs w:val="24"/>
        </w:rPr>
        <w:t xml:space="preserve">for no longer than is necessary and in </w:t>
      </w:r>
      <w:r w:rsidR="0014106D">
        <w:rPr>
          <w:szCs w:val="24"/>
        </w:rPr>
        <w:t>accordance with Data Protection L</w:t>
      </w:r>
      <w:r w:rsidR="00C277D6">
        <w:rPr>
          <w:szCs w:val="24"/>
        </w:rPr>
        <w:t>aw</w:t>
      </w:r>
      <w:r w:rsidR="007D5B1C">
        <w:rPr>
          <w:szCs w:val="24"/>
        </w:rPr>
        <w:t xml:space="preserve">. </w:t>
      </w:r>
      <w:r w:rsidR="00F7051E">
        <w:rPr>
          <w:szCs w:val="24"/>
        </w:rPr>
        <w:t>The External Examiner name and ho</w:t>
      </w:r>
      <w:r w:rsidR="00BB5915">
        <w:rPr>
          <w:szCs w:val="24"/>
        </w:rPr>
        <w:t>m</w:t>
      </w:r>
      <w:r w:rsidR="00F7051E">
        <w:rPr>
          <w:szCs w:val="24"/>
        </w:rPr>
        <w:t>e institution</w:t>
      </w:r>
      <w:r w:rsidR="00A07DA0">
        <w:rPr>
          <w:szCs w:val="24"/>
        </w:rPr>
        <w:t xml:space="preserve"> will be included in the Course Handbook and made available to students.</w:t>
      </w:r>
    </w:p>
    <w:p w14:paraId="57C3C23A" w14:textId="0BFF18B2" w:rsidR="0014106D" w:rsidRDefault="0014106D" w:rsidP="00B433F1">
      <w:pPr>
        <w:ind w:left="851" w:hanging="851"/>
        <w:rPr>
          <w:szCs w:val="24"/>
        </w:rPr>
      </w:pPr>
    </w:p>
    <w:p w14:paraId="54630E2C" w14:textId="4E3DB2F6" w:rsidR="0014106D" w:rsidRDefault="0014106D" w:rsidP="00506200">
      <w:pPr>
        <w:ind w:left="900" w:hanging="900"/>
      </w:pPr>
      <w:r>
        <w:rPr>
          <w:szCs w:val="24"/>
        </w:rPr>
        <w:tab/>
      </w:r>
      <w:r w:rsidRPr="63DF70D2">
        <w:t xml:space="preserve">External Examiner reports will be </w:t>
      </w:r>
      <w:r w:rsidR="00F661F2" w:rsidRPr="63DF70D2">
        <w:t xml:space="preserve">disclosed upon receipt </w:t>
      </w:r>
      <w:r w:rsidR="00317FC5" w:rsidRPr="63DF70D2">
        <w:t>of</w:t>
      </w:r>
      <w:r w:rsidR="00F661F2">
        <w:rPr>
          <w:szCs w:val="24"/>
        </w:rPr>
        <w:t xml:space="preserve"> </w:t>
      </w:r>
      <w:r w:rsidR="000875D7" w:rsidRPr="63DF70D2">
        <w:t xml:space="preserve">a </w:t>
      </w:r>
      <w:r w:rsidR="002F4EFD" w:rsidRPr="63DF70D2">
        <w:t>Freedom of Information</w:t>
      </w:r>
      <w:r w:rsidR="00F661F2" w:rsidRPr="63DF70D2">
        <w:t xml:space="preserve"> request. Therefore</w:t>
      </w:r>
      <w:r w:rsidR="00361F1F">
        <w:rPr>
          <w:szCs w:val="24"/>
        </w:rPr>
        <w:t>,</w:t>
      </w:r>
      <w:r w:rsidR="00F661F2" w:rsidRPr="63DF70D2">
        <w:t xml:space="preserve"> the University would expect</w:t>
      </w:r>
      <w:r w:rsidR="002C17E4" w:rsidRPr="63DF70D2">
        <w:t xml:space="preserve"> that neither</w:t>
      </w:r>
      <w:r w:rsidR="00F661F2">
        <w:rPr>
          <w:szCs w:val="24"/>
        </w:rPr>
        <w:t xml:space="preserve"> </w:t>
      </w:r>
      <w:r w:rsidR="002C17E4" w:rsidRPr="63DF70D2">
        <w:t xml:space="preserve">individual </w:t>
      </w:r>
      <w:proofErr w:type="gramStart"/>
      <w:r w:rsidR="002C17E4" w:rsidRPr="63DF70D2">
        <w:t>staff</w:t>
      </w:r>
      <w:proofErr w:type="gramEnd"/>
      <w:r w:rsidR="002C17E4" w:rsidRPr="63DF70D2">
        <w:t xml:space="preserve"> or student</w:t>
      </w:r>
      <w:r w:rsidR="00F06651" w:rsidRPr="63DF70D2">
        <w:t>s could be identified</w:t>
      </w:r>
      <w:r w:rsidR="002C17E4" w:rsidRPr="63DF70D2">
        <w:t xml:space="preserve"> (by name or ID number) </w:t>
      </w:r>
      <w:r w:rsidR="00F06651" w:rsidRPr="63DF70D2">
        <w:t>within</w:t>
      </w:r>
      <w:r w:rsidR="003C306F" w:rsidRPr="63DF70D2">
        <w:t xml:space="preserve"> the report.</w:t>
      </w:r>
    </w:p>
    <w:p w14:paraId="6EC4AEFC" w14:textId="77777777" w:rsidR="007F55C7" w:rsidRDefault="007F55C7" w:rsidP="00506200">
      <w:pPr>
        <w:ind w:left="900" w:hanging="900"/>
      </w:pPr>
    </w:p>
    <w:p w14:paraId="26495130" w14:textId="77777777" w:rsidR="00972B37" w:rsidRDefault="00972B37" w:rsidP="00506200">
      <w:pPr>
        <w:ind w:left="900" w:hanging="900"/>
      </w:pPr>
    </w:p>
    <w:p w14:paraId="2E4FA68F" w14:textId="7D663D50" w:rsidR="00B433F1" w:rsidRPr="00506200" w:rsidRDefault="00B433F1" w:rsidP="00506200">
      <w:pPr>
        <w:pStyle w:val="Heading1"/>
      </w:pPr>
      <w:bookmarkStart w:id="20" w:name="_Toc134519926"/>
      <w:r w:rsidRPr="00506200">
        <w:t>10.</w:t>
      </w:r>
      <w:r w:rsidRPr="00506200">
        <w:tab/>
      </w:r>
      <w:r w:rsidR="00895077" w:rsidRPr="00506200">
        <w:t>Confidentiality and Non-Disclosure Agreements</w:t>
      </w:r>
      <w:bookmarkEnd w:id="20"/>
    </w:p>
    <w:p w14:paraId="057300F9" w14:textId="4CC52C19" w:rsidR="00B433F1" w:rsidRDefault="00B433F1" w:rsidP="00532395">
      <w:pPr>
        <w:ind w:left="851" w:hanging="851"/>
        <w:rPr>
          <w:szCs w:val="24"/>
        </w:rPr>
      </w:pPr>
    </w:p>
    <w:p w14:paraId="74A246AA" w14:textId="0C06AA43" w:rsidR="0092452F" w:rsidRDefault="005922A6" w:rsidP="00506200">
      <w:pPr>
        <w:ind w:left="900"/>
        <w:rPr>
          <w:rFonts w:cs="Arial"/>
        </w:rPr>
      </w:pPr>
      <w:r>
        <w:rPr>
          <w:rFonts w:cs="Arial"/>
        </w:rPr>
        <w:t xml:space="preserve">Occasionally, </w:t>
      </w:r>
      <w:r w:rsidRPr="00574B8E">
        <w:rPr>
          <w:rFonts w:cs="Arial"/>
        </w:rPr>
        <w:t>External Examiners may have sight of certain confidential information in</w:t>
      </w:r>
      <w:r>
        <w:rPr>
          <w:rFonts w:cs="Arial"/>
        </w:rPr>
        <w:t>cluded</w:t>
      </w:r>
      <w:r w:rsidRPr="00574B8E">
        <w:rPr>
          <w:rFonts w:cs="Arial"/>
        </w:rPr>
        <w:t xml:space="preserve"> </w:t>
      </w:r>
      <w:r>
        <w:rPr>
          <w:rFonts w:cs="Arial"/>
        </w:rPr>
        <w:t>in</w:t>
      </w:r>
      <w:r w:rsidRPr="00574B8E">
        <w:rPr>
          <w:rFonts w:cs="Arial"/>
        </w:rPr>
        <w:t xml:space="preserve"> </w:t>
      </w:r>
      <w:r>
        <w:rPr>
          <w:rFonts w:cs="Arial"/>
        </w:rPr>
        <w:t>assessments</w:t>
      </w:r>
      <w:r w:rsidRPr="00574B8E">
        <w:rPr>
          <w:rFonts w:cs="Arial"/>
        </w:rPr>
        <w:t xml:space="preserve"> submitted by students </w:t>
      </w:r>
      <w:r w:rsidR="007B1055">
        <w:rPr>
          <w:rFonts w:cs="Arial"/>
        </w:rPr>
        <w:t>who</w:t>
      </w:r>
      <w:r w:rsidRPr="00574B8E">
        <w:rPr>
          <w:rFonts w:cs="Arial"/>
        </w:rPr>
        <w:t xml:space="preserve"> are on placement</w:t>
      </w:r>
      <w:r w:rsidR="007D5B1C">
        <w:rPr>
          <w:rFonts w:cs="Arial"/>
        </w:rPr>
        <w:t xml:space="preserve">. </w:t>
      </w:r>
      <w:r w:rsidR="007B1055">
        <w:rPr>
          <w:rFonts w:cs="Arial"/>
        </w:rPr>
        <w:t>The External Examiner</w:t>
      </w:r>
      <w:r w:rsidRPr="00574B8E">
        <w:rPr>
          <w:rFonts w:cs="Arial"/>
        </w:rPr>
        <w:t xml:space="preserve"> may be required to sign </w:t>
      </w:r>
      <w:r>
        <w:rPr>
          <w:rFonts w:cs="Arial"/>
        </w:rPr>
        <w:t xml:space="preserve">a </w:t>
      </w:r>
      <w:r w:rsidRPr="00574B8E">
        <w:rPr>
          <w:rFonts w:cs="Arial"/>
        </w:rPr>
        <w:t xml:space="preserve">confidentiality agreement/non-disclosure agreement (NDA) </w:t>
      </w:r>
      <w:r>
        <w:rPr>
          <w:rFonts w:cs="Arial"/>
        </w:rPr>
        <w:t>at the request of the</w:t>
      </w:r>
      <w:r w:rsidRPr="00574B8E">
        <w:rPr>
          <w:rFonts w:cs="Arial"/>
        </w:rPr>
        <w:t xml:space="preserve"> placement provider</w:t>
      </w:r>
      <w:r w:rsidR="007D5B1C" w:rsidRPr="00574B8E">
        <w:rPr>
          <w:rFonts w:cs="Arial"/>
        </w:rPr>
        <w:t xml:space="preserve">. </w:t>
      </w:r>
    </w:p>
    <w:p w14:paraId="49A5D533" w14:textId="77777777" w:rsidR="0092452F" w:rsidRDefault="0092452F" w:rsidP="00506200">
      <w:pPr>
        <w:ind w:left="900"/>
        <w:rPr>
          <w:rFonts w:cs="Arial"/>
        </w:rPr>
      </w:pPr>
    </w:p>
    <w:p w14:paraId="7872DA7D" w14:textId="01EB873A" w:rsidR="0089362F" w:rsidRPr="00886503" w:rsidRDefault="005922A6" w:rsidP="00506200">
      <w:pPr>
        <w:ind w:left="900"/>
        <w:rPr>
          <w:rFonts w:cs="Arial"/>
        </w:rPr>
      </w:pPr>
      <w:r w:rsidRPr="00574B8E">
        <w:rPr>
          <w:rFonts w:cs="Arial"/>
        </w:rPr>
        <w:t xml:space="preserve">External Examiners will be </w:t>
      </w:r>
      <w:r w:rsidR="007D5B1C" w:rsidRPr="00574B8E">
        <w:rPr>
          <w:rFonts w:cs="Arial"/>
        </w:rPr>
        <w:t>expected</w:t>
      </w:r>
      <w:r w:rsidRPr="00574B8E">
        <w:rPr>
          <w:rFonts w:cs="Arial"/>
        </w:rPr>
        <w:t xml:space="preserve"> to sign these </w:t>
      </w:r>
      <w:r>
        <w:rPr>
          <w:rFonts w:cs="Arial"/>
        </w:rPr>
        <w:t>agreements,</w:t>
      </w:r>
      <w:r w:rsidRPr="00574B8E">
        <w:rPr>
          <w:rFonts w:cs="Arial"/>
        </w:rPr>
        <w:t xml:space="preserve"> </w:t>
      </w:r>
      <w:r>
        <w:rPr>
          <w:rFonts w:cs="Arial"/>
        </w:rPr>
        <w:t>and</w:t>
      </w:r>
      <w:r w:rsidRPr="00574B8E">
        <w:rPr>
          <w:rFonts w:cs="Arial"/>
        </w:rPr>
        <w:t xml:space="preserve"> this will not affect their ability to make reports to any relevant regulatory body as may be required during the performance of their duties.</w:t>
      </w:r>
    </w:p>
    <w:p w14:paraId="3557D8D9" w14:textId="77777777" w:rsidR="00F97CA4" w:rsidRPr="00CF4EEF" w:rsidRDefault="00F97CA4" w:rsidP="00EB0EAE">
      <w:pPr>
        <w:rPr>
          <w:szCs w:val="24"/>
        </w:rPr>
      </w:pPr>
    </w:p>
    <w:sectPr w:rsidR="00F97CA4" w:rsidRPr="00CF4EEF" w:rsidSect="009C175C">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9F0F" w14:textId="77777777" w:rsidR="00B94B37" w:rsidRDefault="00B94B37" w:rsidP="0048411F">
      <w:r>
        <w:separator/>
      </w:r>
    </w:p>
  </w:endnote>
  <w:endnote w:type="continuationSeparator" w:id="0">
    <w:p w14:paraId="0A8662A7" w14:textId="77777777" w:rsidR="00B94B37" w:rsidRDefault="00B94B37" w:rsidP="0048411F">
      <w:r>
        <w:continuationSeparator/>
      </w:r>
    </w:p>
  </w:endnote>
  <w:endnote w:type="continuationNotice" w:id="1">
    <w:p w14:paraId="2C33DF1A" w14:textId="77777777" w:rsidR="00B94B37" w:rsidRDefault="00B94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D56A" w14:textId="73C5BC4E" w:rsidR="0048411F" w:rsidRPr="0048411F" w:rsidRDefault="0048411F" w:rsidP="0048411F">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322774"/>
      <w:docPartObj>
        <w:docPartGallery w:val="Page Numbers (Bottom of Page)"/>
        <w:docPartUnique/>
      </w:docPartObj>
    </w:sdtPr>
    <w:sdtEndPr>
      <w:rPr>
        <w:noProof/>
        <w:sz w:val="20"/>
        <w:szCs w:val="20"/>
      </w:rPr>
    </w:sdtEndPr>
    <w:sdtContent>
      <w:p w14:paraId="7B5C7408" w14:textId="77777777" w:rsidR="009C175C" w:rsidRDefault="009C175C" w:rsidP="0048411F">
        <w:pPr>
          <w:pStyle w:val="Footer"/>
          <w:jc w:val="right"/>
          <w:rPr>
            <w:noProof/>
            <w:sz w:val="20"/>
            <w:szCs w:val="20"/>
          </w:rPr>
        </w:pPr>
        <w:r w:rsidRPr="0048411F">
          <w:rPr>
            <w:sz w:val="20"/>
            <w:szCs w:val="20"/>
          </w:rPr>
          <w:fldChar w:fldCharType="begin"/>
        </w:r>
        <w:r w:rsidRPr="0048411F">
          <w:rPr>
            <w:sz w:val="20"/>
            <w:szCs w:val="20"/>
          </w:rPr>
          <w:instrText xml:space="preserve"> PAGE   \* MERGEFORMAT </w:instrText>
        </w:r>
        <w:r w:rsidRPr="0048411F">
          <w:rPr>
            <w:sz w:val="20"/>
            <w:szCs w:val="20"/>
          </w:rPr>
          <w:fldChar w:fldCharType="separate"/>
        </w:r>
        <w:r w:rsidRPr="0048411F">
          <w:rPr>
            <w:noProof/>
            <w:sz w:val="20"/>
            <w:szCs w:val="20"/>
          </w:rPr>
          <w:t>2</w:t>
        </w:r>
        <w:r w:rsidRPr="0048411F">
          <w:rPr>
            <w:noProof/>
            <w:sz w:val="20"/>
            <w:szCs w:val="20"/>
          </w:rPr>
          <w:fldChar w:fldCharType="end"/>
        </w:r>
      </w:p>
      <w:p w14:paraId="2D23FB2D" w14:textId="53586D16" w:rsidR="009C175C" w:rsidRPr="0048411F" w:rsidRDefault="008824AB" w:rsidP="0048411F">
        <w:pPr>
          <w:pStyle w:val="Footer"/>
          <w:jc w:val="right"/>
          <w:rPr>
            <w:sz w:val="20"/>
            <w:szCs w:val="20"/>
          </w:rPr>
        </w:pPr>
        <w:r>
          <w:rPr>
            <w:noProof/>
            <w:sz w:val="18"/>
            <w:szCs w:val="18"/>
          </w:rPr>
          <w:t>Quality Framework Chapter D2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B022" w14:textId="77777777" w:rsidR="00B94B37" w:rsidRDefault="00B94B37" w:rsidP="0048411F">
      <w:r>
        <w:separator/>
      </w:r>
    </w:p>
  </w:footnote>
  <w:footnote w:type="continuationSeparator" w:id="0">
    <w:p w14:paraId="426F6DE4" w14:textId="77777777" w:rsidR="00B94B37" w:rsidRDefault="00B94B37" w:rsidP="0048411F">
      <w:r>
        <w:continuationSeparator/>
      </w:r>
    </w:p>
  </w:footnote>
  <w:footnote w:type="continuationNotice" w:id="1">
    <w:p w14:paraId="37102C0D" w14:textId="77777777" w:rsidR="00B94B37" w:rsidRDefault="00B94B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D466" w14:textId="35EA41DA" w:rsidR="00C944DE" w:rsidRPr="00C944DE" w:rsidRDefault="00C944DE" w:rsidP="00C944DE">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382C"/>
    <w:multiLevelType w:val="hybridMultilevel"/>
    <w:tmpl w:val="5B7C156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15:restartNumberingAfterBreak="0">
    <w:nsid w:val="09292AEC"/>
    <w:multiLevelType w:val="hybridMultilevel"/>
    <w:tmpl w:val="AB5EE05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3F54D29"/>
    <w:multiLevelType w:val="hybridMultilevel"/>
    <w:tmpl w:val="42DEAC68"/>
    <w:lvl w:ilvl="0" w:tplc="08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161006CF"/>
    <w:multiLevelType w:val="hybridMultilevel"/>
    <w:tmpl w:val="7A6CF084"/>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1B26B39"/>
    <w:multiLevelType w:val="hybridMultilevel"/>
    <w:tmpl w:val="7A6CF084"/>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A2F0D59"/>
    <w:multiLevelType w:val="hybridMultilevel"/>
    <w:tmpl w:val="9508B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21938"/>
    <w:multiLevelType w:val="hybridMultilevel"/>
    <w:tmpl w:val="348AF0A6"/>
    <w:lvl w:ilvl="0" w:tplc="0809001B">
      <w:start w:val="1"/>
      <w:numFmt w:val="lowerRoman"/>
      <w:lvlText w:val="%1."/>
      <w:lvlJc w:val="right"/>
      <w:pPr>
        <w:ind w:left="1570" w:hanging="360"/>
      </w:pPr>
      <w:rPr>
        <w:rFont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7" w15:restartNumberingAfterBreak="0">
    <w:nsid w:val="2FAD3B44"/>
    <w:multiLevelType w:val="hybridMultilevel"/>
    <w:tmpl w:val="A8E04D34"/>
    <w:lvl w:ilvl="0" w:tplc="5074D648">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5F4A88"/>
    <w:multiLevelType w:val="hybridMultilevel"/>
    <w:tmpl w:val="3C562690"/>
    <w:lvl w:ilvl="0" w:tplc="B9B2527A">
      <w:start w:val="1"/>
      <w:numFmt w:val="bullet"/>
      <w:pStyle w:val="CLQEBullets"/>
      <w:lvlText w:val=""/>
      <w:lvlJc w:val="left"/>
      <w:pPr>
        <w:tabs>
          <w:tab w:val="num" w:pos="1586"/>
        </w:tabs>
        <w:ind w:left="1586" w:hanging="288"/>
      </w:pPr>
      <w:rPr>
        <w:rFonts w:ascii="Wingdings" w:hAnsi="Wingdings" w:hint="default"/>
      </w:rPr>
    </w:lvl>
    <w:lvl w:ilvl="1" w:tplc="08090003">
      <w:start w:val="1"/>
      <w:numFmt w:val="bullet"/>
      <w:lvlText w:val="o"/>
      <w:lvlJc w:val="left"/>
      <w:pPr>
        <w:tabs>
          <w:tab w:val="num" w:pos="1822"/>
        </w:tabs>
        <w:ind w:left="1822" w:hanging="360"/>
      </w:pPr>
      <w:rPr>
        <w:rFonts w:ascii="Courier New" w:hAnsi="Courier New" w:cs="Courier New" w:hint="default"/>
      </w:rPr>
    </w:lvl>
    <w:lvl w:ilvl="2" w:tplc="6D18C390">
      <w:start w:val="1"/>
      <w:numFmt w:val="bullet"/>
      <w:lvlText w:val=""/>
      <w:lvlJc w:val="left"/>
      <w:pPr>
        <w:tabs>
          <w:tab w:val="num" w:pos="2470"/>
        </w:tabs>
        <w:ind w:left="2470" w:hanging="288"/>
      </w:pPr>
      <w:rPr>
        <w:rFonts w:ascii="Wingdings" w:hAnsi="Wingdings" w:hint="default"/>
      </w:rPr>
    </w:lvl>
    <w:lvl w:ilvl="3" w:tplc="08090001" w:tentative="1">
      <w:start w:val="1"/>
      <w:numFmt w:val="bullet"/>
      <w:lvlText w:val=""/>
      <w:lvlJc w:val="left"/>
      <w:pPr>
        <w:tabs>
          <w:tab w:val="num" w:pos="3262"/>
        </w:tabs>
        <w:ind w:left="3262" w:hanging="360"/>
      </w:pPr>
      <w:rPr>
        <w:rFonts w:ascii="Symbol" w:hAnsi="Symbol" w:hint="default"/>
      </w:rPr>
    </w:lvl>
    <w:lvl w:ilvl="4" w:tplc="08090003" w:tentative="1">
      <w:start w:val="1"/>
      <w:numFmt w:val="bullet"/>
      <w:lvlText w:val="o"/>
      <w:lvlJc w:val="left"/>
      <w:pPr>
        <w:tabs>
          <w:tab w:val="num" w:pos="3982"/>
        </w:tabs>
        <w:ind w:left="3982" w:hanging="360"/>
      </w:pPr>
      <w:rPr>
        <w:rFonts w:ascii="Courier New" w:hAnsi="Courier New" w:cs="Courier New" w:hint="default"/>
      </w:rPr>
    </w:lvl>
    <w:lvl w:ilvl="5" w:tplc="08090005">
      <w:start w:val="1"/>
      <w:numFmt w:val="bullet"/>
      <w:lvlText w:val=""/>
      <w:lvlJc w:val="left"/>
      <w:pPr>
        <w:tabs>
          <w:tab w:val="num" w:pos="4702"/>
        </w:tabs>
        <w:ind w:left="4702" w:hanging="360"/>
      </w:pPr>
      <w:rPr>
        <w:rFonts w:ascii="Wingdings" w:hAnsi="Wingdings" w:hint="default"/>
      </w:rPr>
    </w:lvl>
    <w:lvl w:ilvl="6" w:tplc="08090001" w:tentative="1">
      <w:start w:val="1"/>
      <w:numFmt w:val="bullet"/>
      <w:lvlText w:val=""/>
      <w:lvlJc w:val="left"/>
      <w:pPr>
        <w:tabs>
          <w:tab w:val="num" w:pos="5422"/>
        </w:tabs>
        <w:ind w:left="5422" w:hanging="360"/>
      </w:pPr>
      <w:rPr>
        <w:rFonts w:ascii="Symbol" w:hAnsi="Symbol" w:hint="default"/>
      </w:rPr>
    </w:lvl>
    <w:lvl w:ilvl="7" w:tplc="08090003" w:tentative="1">
      <w:start w:val="1"/>
      <w:numFmt w:val="bullet"/>
      <w:lvlText w:val="o"/>
      <w:lvlJc w:val="left"/>
      <w:pPr>
        <w:tabs>
          <w:tab w:val="num" w:pos="6142"/>
        </w:tabs>
        <w:ind w:left="6142" w:hanging="360"/>
      </w:pPr>
      <w:rPr>
        <w:rFonts w:ascii="Courier New" w:hAnsi="Courier New" w:cs="Courier New" w:hint="default"/>
      </w:rPr>
    </w:lvl>
    <w:lvl w:ilvl="8" w:tplc="08090005" w:tentative="1">
      <w:start w:val="1"/>
      <w:numFmt w:val="bullet"/>
      <w:lvlText w:val=""/>
      <w:lvlJc w:val="left"/>
      <w:pPr>
        <w:tabs>
          <w:tab w:val="num" w:pos="6862"/>
        </w:tabs>
        <w:ind w:left="6862" w:hanging="360"/>
      </w:pPr>
      <w:rPr>
        <w:rFonts w:ascii="Wingdings" w:hAnsi="Wingdings" w:hint="default"/>
      </w:rPr>
    </w:lvl>
  </w:abstractNum>
  <w:abstractNum w:abstractNumId="9" w15:restartNumberingAfterBreak="0">
    <w:nsid w:val="37C119F2"/>
    <w:multiLevelType w:val="hybridMultilevel"/>
    <w:tmpl w:val="0CBA9BE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4437434"/>
    <w:multiLevelType w:val="hybridMultilevel"/>
    <w:tmpl w:val="632C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F496E"/>
    <w:multiLevelType w:val="hybridMultilevel"/>
    <w:tmpl w:val="1BDAE448"/>
    <w:lvl w:ilvl="0" w:tplc="1C2E87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6062F"/>
    <w:multiLevelType w:val="hybridMultilevel"/>
    <w:tmpl w:val="784C99E6"/>
    <w:lvl w:ilvl="0" w:tplc="9342BE8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453379F"/>
    <w:multiLevelType w:val="hybridMultilevel"/>
    <w:tmpl w:val="2C24D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5572183"/>
    <w:multiLevelType w:val="hybridMultilevel"/>
    <w:tmpl w:val="4BBE3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43386D"/>
    <w:multiLevelType w:val="hybridMultilevel"/>
    <w:tmpl w:val="B8202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4C4F16"/>
    <w:multiLevelType w:val="hybridMultilevel"/>
    <w:tmpl w:val="7A6CF084"/>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4195305"/>
    <w:multiLevelType w:val="hybridMultilevel"/>
    <w:tmpl w:val="759E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5C52F4"/>
    <w:multiLevelType w:val="hybridMultilevel"/>
    <w:tmpl w:val="348AF0A6"/>
    <w:lvl w:ilvl="0" w:tplc="0809001B">
      <w:start w:val="1"/>
      <w:numFmt w:val="lowerRoman"/>
      <w:lvlText w:val="%1."/>
      <w:lvlJc w:val="right"/>
      <w:pPr>
        <w:ind w:left="1570" w:hanging="360"/>
      </w:pPr>
      <w:rPr>
        <w:rFont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9" w15:restartNumberingAfterBreak="0">
    <w:nsid w:val="6BC77C12"/>
    <w:multiLevelType w:val="hybridMultilevel"/>
    <w:tmpl w:val="1A6C170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70374FDF"/>
    <w:multiLevelType w:val="hybridMultilevel"/>
    <w:tmpl w:val="A89AC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A165A"/>
    <w:multiLevelType w:val="hybridMultilevel"/>
    <w:tmpl w:val="75187492"/>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7F5705AE"/>
    <w:multiLevelType w:val="hybridMultilevel"/>
    <w:tmpl w:val="241832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717438937">
    <w:abstractNumId w:val="5"/>
  </w:num>
  <w:num w:numId="2" w16cid:durableId="445661828">
    <w:abstractNumId w:val="22"/>
  </w:num>
  <w:num w:numId="3" w16cid:durableId="761218561">
    <w:abstractNumId w:val="16"/>
  </w:num>
  <w:num w:numId="4" w16cid:durableId="894118863">
    <w:abstractNumId w:val="3"/>
  </w:num>
  <w:num w:numId="5" w16cid:durableId="1361667079">
    <w:abstractNumId w:val="4"/>
  </w:num>
  <w:num w:numId="6" w16cid:durableId="69929622">
    <w:abstractNumId w:val="0"/>
  </w:num>
  <w:num w:numId="7" w16cid:durableId="1802917024">
    <w:abstractNumId w:val="15"/>
  </w:num>
  <w:num w:numId="8" w16cid:durableId="1274482168">
    <w:abstractNumId w:val="18"/>
  </w:num>
  <w:num w:numId="9" w16cid:durableId="1451971920">
    <w:abstractNumId w:val="19"/>
  </w:num>
  <w:num w:numId="10" w16cid:durableId="1621305155">
    <w:abstractNumId w:val="8"/>
  </w:num>
  <w:num w:numId="11" w16cid:durableId="332883259">
    <w:abstractNumId w:val="2"/>
  </w:num>
  <w:num w:numId="12" w16cid:durableId="450902950">
    <w:abstractNumId w:val="20"/>
  </w:num>
  <w:num w:numId="13" w16cid:durableId="684674249">
    <w:abstractNumId w:val="14"/>
  </w:num>
  <w:num w:numId="14" w16cid:durableId="839009080">
    <w:abstractNumId w:val="1"/>
  </w:num>
  <w:num w:numId="15" w16cid:durableId="1431270924">
    <w:abstractNumId w:val="21"/>
  </w:num>
  <w:num w:numId="16" w16cid:durableId="1319532123">
    <w:abstractNumId w:val="9"/>
  </w:num>
  <w:num w:numId="17" w16cid:durableId="280694459">
    <w:abstractNumId w:val="7"/>
  </w:num>
  <w:num w:numId="18" w16cid:durableId="1364020570">
    <w:abstractNumId w:val="17"/>
  </w:num>
  <w:num w:numId="19" w16cid:durableId="699428844">
    <w:abstractNumId w:val="6"/>
  </w:num>
  <w:num w:numId="20" w16cid:durableId="822158071">
    <w:abstractNumId w:val="10"/>
  </w:num>
  <w:num w:numId="21" w16cid:durableId="1601570232">
    <w:abstractNumId w:val="11"/>
  </w:num>
  <w:num w:numId="22" w16cid:durableId="1228222955">
    <w:abstractNumId w:val="12"/>
  </w:num>
  <w:num w:numId="23" w16cid:durableId="4185961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56"/>
    <w:rsid w:val="00001A7F"/>
    <w:rsid w:val="00002240"/>
    <w:rsid w:val="000026DF"/>
    <w:rsid w:val="000045EF"/>
    <w:rsid w:val="00006C43"/>
    <w:rsid w:val="0000724C"/>
    <w:rsid w:val="00007C5D"/>
    <w:rsid w:val="00012496"/>
    <w:rsid w:val="00012746"/>
    <w:rsid w:val="000156C9"/>
    <w:rsid w:val="000161DF"/>
    <w:rsid w:val="00017933"/>
    <w:rsid w:val="0002343B"/>
    <w:rsid w:val="00023A77"/>
    <w:rsid w:val="00026B0D"/>
    <w:rsid w:val="00033BE6"/>
    <w:rsid w:val="0003748A"/>
    <w:rsid w:val="000402BF"/>
    <w:rsid w:val="000419FB"/>
    <w:rsid w:val="00042296"/>
    <w:rsid w:val="000426AC"/>
    <w:rsid w:val="00042815"/>
    <w:rsid w:val="00050C9B"/>
    <w:rsid w:val="00053C80"/>
    <w:rsid w:val="000541F5"/>
    <w:rsid w:val="000569BD"/>
    <w:rsid w:val="000570ED"/>
    <w:rsid w:val="00060CDC"/>
    <w:rsid w:val="000616C4"/>
    <w:rsid w:val="00063D32"/>
    <w:rsid w:val="00064E0D"/>
    <w:rsid w:val="000654B2"/>
    <w:rsid w:val="00066096"/>
    <w:rsid w:val="000663C8"/>
    <w:rsid w:val="00066D91"/>
    <w:rsid w:val="000726FB"/>
    <w:rsid w:val="00072870"/>
    <w:rsid w:val="0007289C"/>
    <w:rsid w:val="00072A37"/>
    <w:rsid w:val="00074923"/>
    <w:rsid w:val="000758CA"/>
    <w:rsid w:val="00076072"/>
    <w:rsid w:val="00082E75"/>
    <w:rsid w:val="00085B76"/>
    <w:rsid w:val="0008695B"/>
    <w:rsid w:val="000871B5"/>
    <w:rsid w:val="000875D7"/>
    <w:rsid w:val="00090656"/>
    <w:rsid w:val="00091C6D"/>
    <w:rsid w:val="00092CE8"/>
    <w:rsid w:val="00092CFD"/>
    <w:rsid w:val="0009393E"/>
    <w:rsid w:val="00093FEC"/>
    <w:rsid w:val="00094101"/>
    <w:rsid w:val="00094430"/>
    <w:rsid w:val="00094AE9"/>
    <w:rsid w:val="000A02D3"/>
    <w:rsid w:val="000A05FB"/>
    <w:rsid w:val="000A06F4"/>
    <w:rsid w:val="000A330F"/>
    <w:rsid w:val="000A556B"/>
    <w:rsid w:val="000A5973"/>
    <w:rsid w:val="000A6DF2"/>
    <w:rsid w:val="000A7627"/>
    <w:rsid w:val="000B0277"/>
    <w:rsid w:val="000B038C"/>
    <w:rsid w:val="000B223C"/>
    <w:rsid w:val="000B36D5"/>
    <w:rsid w:val="000B5EAB"/>
    <w:rsid w:val="000C095D"/>
    <w:rsid w:val="000C0A69"/>
    <w:rsid w:val="000C0DA3"/>
    <w:rsid w:val="000C0E05"/>
    <w:rsid w:val="000C12F3"/>
    <w:rsid w:val="000C13F1"/>
    <w:rsid w:val="000C3934"/>
    <w:rsid w:val="000C4CF8"/>
    <w:rsid w:val="000C64D0"/>
    <w:rsid w:val="000C655A"/>
    <w:rsid w:val="000C6E74"/>
    <w:rsid w:val="000C6EE1"/>
    <w:rsid w:val="000D0B2D"/>
    <w:rsid w:val="000D4C16"/>
    <w:rsid w:val="000D50F0"/>
    <w:rsid w:val="000D5B26"/>
    <w:rsid w:val="000D6487"/>
    <w:rsid w:val="000D69A6"/>
    <w:rsid w:val="000E0D14"/>
    <w:rsid w:val="000E0F41"/>
    <w:rsid w:val="000E1917"/>
    <w:rsid w:val="000E3FA5"/>
    <w:rsid w:val="000E5C88"/>
    <w:rsid w:val="000E667A"/>
    <w:rsid w:val="000E7091"/>
    <w:rsid w:val="000F011A"/>
    <w:rsid w:val="000F1240"/>
    <w:rsid w:val="000F191A"/>
    <w:rsid w:val="000F2A67"/>
    <w:rsid w:val="000F2F16"/>
    <w:rsid w:val="000F591D"/>
    <w:rsid w:val="000F5CD1"/>
    <w:rsid w:val="000F7A96"/>
    <w:rsid w:val="000F7BC4"/>
    <w:rsid w:val="00104E6A"/>
    <w:rsid w:val="0010659B"/>
    <w:rsid w:val="0010690D"/>
    <w:rsid w:val="0011175B"/>
    <w:rsid w:val="00111F5D"/>
    <w:rsid w:val="00112339"/>
    <w:rsid w:val="00114561"/>
    <w:rsid w:val="00121D18"/>
    <w:rsid w:val="0012275C"/>
    <w:rsid w:val="00124D41"/>
    <w:rsid w:val="00124DA9"/>
    <w:rsid w:val="00131A02"/>
    <w:rsid w:val="00131BB6"/>
    <w:rsid w:val="001350A2"/>
    <w:rsid w:val="001362D6"/>
    <w:rsid w:val="00136D42"/>
    <w:rsid w:val="00136E9F"/>
    <w:rsid w:val="0014106D"/>
    <w:rsid w:val="001414BC"/>
    <w:rsid w:val="0014202D"/>
    <w:rsid w:val="00142258"/>
    <w:rsid w:val="001437BE"/>
    <w:rsid w:val="00143A56"/>
    <w:rsid w:val="00145792"/>
    <w:rsid w:val="00145DEA"/>
    <w:rsid w:val="00146B40"/>
    <w:rsid w:val="00150024"/>
    <w:rsid w:val="001538ED"/>
    <w:rsid w:val="00154ADC"/>
    <w:rsid w:val="00155DA3"/>
    <w:rsid w:val="001563E0"/>
    <w:rsid w:val="00157126"/>
    <w:rsid w:val="00157B61"/>
    <w:rsid w:val="00157D8F"/>
    <w:rsid w:val="001614AD"/>
    <w:rsid w:val="00162681"/>
    <w:rsid w:val="00162EA8"/>
    <w:rsid w:val="0016743B"/>
    <w:rsid w:val="0016761C"/>
    <w:rsid w:val="00170412"/>
    <w:rsid w:val="00170749"/>
    <w:rsid w:val="001714AA"/>
    <w:rsid w:val="00172063"/>
    <w:rsid w:val="00173CC3"/>
    <w:rsid w:val="00175551"/>
    <w:rsid w:val="00175E78"/>
    <w:rsid w:val="001760C9"/>
    <w:rsid w:val="0017678E"/>
    <w:rsid w:val="00177BB2"/>
    <w:rsid w:val="00181134"/>
    <w:rsid w:val="001813CA"/>
    <w:rsid w:val="001817E4"/>
    <w:rsid w:val="0018288B"/>
    <w:rsid w:val="00192299"/>
    <w:rsid w:val="00194043"/>
    <w:rsid w:val="00197ADF"/>
    <w:rsid w:val="001A103C"/>
    <w:rsid w:val="001A1CFC"/>
    <w:rsid w:val="001A6272"/>
    <w:rsid w:val="001A6567"/>
    <w:rsid w:val="001B1BCF"/>
    <w:rsid w:val="001B1F47"/>
    <w:rsid w:val="001B36CA"/>
    <w:rsid w:val="001B39F4"/>
    <w:rsid w:val="001B582E"/>
    <w:rsid w:val="001B6ABD"/>
    <w:rsid w:val="001B77E8"/>
    <w:rsid w:val="001C2225"/>
    <w:rsid w:val="001C224D"/>
    <w:rsid w:val="001C32D6"/>
    <w:rsid w:val="001C49D7"/>
    <w:rsid w:val="001C5FEA"/>
    <w:rsid w:val="001C642C"/>
    <w:rsid w:val="001C7C1E"/>
    <w:rsid w:val="001D17BF"/>
    <w:rsid w:val="001D5797"/>
    <w:rsid w:val="001D5F4A"/>
    <w:rsid w:val="001D6513"/>
    <w:rsid w:val="001D6CC8"/>
    <w:rsid w:val="001E0269"/>
    <w:rsid w:val="001E11E2"/>
    <w:rsid w:val="001E1AFB"/>
    <w:rsid w:val="001E5E4D"/>
    <w:rsid w:val="001E6511"/>
    <w:rsid w:val="001E72DD"/>
    <w:rsid w:val="001E7B9A"/>
    <w:rsid w:val="001F0C03"/>
    <w:rsid w:val="001F29F5"/>
    <w:rsid w:val="001F2F05"/>
    <w:rsid w:val="001F3413"/>
    <w:rsid w:val="001F6F0D"/>
    <w:rsid w:val="001F7E67"/>
    <w:rsid w:val="001F7ED7"/>
    <w:rsid w:val="001F7F91"/>
    <w:rsid w:val="00200AF1"/>
    <w:rsid w:val="00201162"/>
    <w:rsid w:val="0020297E"/>
    <w:rsid w:val="00204247"/>
    <w:rsid w:val="00204707"/>
    <w:rsid w:val="00211DE2"/>
    <w:rsid w:val="00212E7A"/>
    <w:rsid w:val="0021321D"/>
    <w:rsid w:val="00213A6C"/>
    <w:rsid w:val="00214612"/>
    <w:rsid w:val="00215382"/>
    <w:rsid w:val="002201ED"/>
    <w:rsid w:val="00221746"/>
    <w:rsid w:val="00221A71"/>
    <w:rsid w:val="00225E2C"/>
    <w:rsid w:val="00227CBC"/>
    <w:rsid w:val="00230B7F"/>
    <w:rsid w:val="00231584"/>
    <w:rsid w:val="002319EF"/>
    <w:rsid w:val="0023300B"/>
    <w:rsid w:val="00233A30"/>
    <w:rsid w:val="00233D81"/>
    <w:rsid w:val="00236FAC"/>
    <w:rsid w:val="00242355"/>
    <w:rsid w:val="00243A0A"/>
    <w:rsid w:val="00244332"/>
    <w:rsid w:val="00245ABB"/>
    <w:rsid w:val="00245D58"/>
    <w:rsid w:val="00246A0F"/>
    <w:rsid w:val="00247852"/>
    <w:rsid w:val="00250C46"/>
    <w:rsid w:val="002522A5"/>
    <w:rsid w:val="002538ED"/>
    <w:rsid w:val="002549C4"/>
    <w:rsid w:val="00254FC4"/>
    <w:rsid w:val="002602FB"/>
    <w:rsid w:val="00261639"/>
    <w:rsid w:val="00273088"/>
    <w:rsid w:val="00275375"/>
    <w:rsid w:val="002775C5"/>
    <w:rsid w:val="00280659"/>
    <w:rsid w:val="00280887"/>
    <w:rsid w:val="002824BF"/>
    <w:rsid w:val="00282CF9"/>
    <w:rsid w:val="0028382D"/>
    <w:rsid w:val="00283B0A"/>
    <w:rsid w:val="00284F5B"/>
    <w:rsid w:val="0029104A"/>
    <w:rsid w:val="0029309E"/>
    <w:rsid w:val="002A0184"/>
    <w:rsid w:val="002A09D1"/>
    <w:rsid w:val="002A174A"/>
    <w:rsid w:val="002A5580"/>
    <w:rsid w:val="002A5EC4"/>
    <w:rsid w:val="002B47A4"/>
    <w:rsid w:val="002B6059"/>
    <w:rsid w:val="002B697A"/>
    <w:rsid w:val="002B77F1"/>
    <w:rsid w:val="002C0913"/>
    <w:rsid w:val="002C1240"/>
    <w:rsid w:val="002C17E4"/>
    <w:rsid w:val="002C1CAB"/>
    <w:rsid w:val="002C4F84"/>
    <w:rsid w:val="002C4FCC"/>
    <w:rsid w:val="002C52BD"/>
    <w:rsid w:val="002C53A7"/>
    <w:rsid w:val="002C5AF4"/>
    <w:rsid w:val="002C7783"/>
    <w:rsid w:val="002D03E5"/>
    <w:rsid w:val="002D1A0D"/>
    <w:rsid w:val="002D343A"/>
    <w:rsid w:val="002D34EE"/>
    <w:rsid w:val="002D49D4"/>
    <w:rsid w:val="002E07BD"/>
    <w:rsid w:val="002E0A08"/>
    <w:rsid w:val="002E681C"/>
    <w:rsid w:val="002E78E9"/>
    <w:rsid w:val="002F21A3"/>
    <w:rsid w:val="002F4EFD"/>
    <w:rsid w:val="002F5BCF"/>
    <w:rsid w:val="002F608E"/>
    <w:rsid w:val="002F7407"/>
    <w:rsid w:val="002F7D35"/>
    <w:rsid w:val="00300FE2"/>
    <w:rsid w:val="00302BC5"/>
    <w:rsid w:val="00303526"/>
    <w:rsid w:val="003045F4"/>
    <w:rsid w:val="00306A4D"/>
    <w:rsid w:val="003111EE"/>
    <w:rsid w:val="003119DE"/>
    <w:rsid w:val="00312565"/>
    <w:rsid w:val="00314525"/>
    <w:rsid w:val="00315CCE"/>
    <w:rsid w:val="00316CC1"/>
    <w:rsid w:val="00317059"/>
    <w:rsid w:val="00317FC5"/>
    <w:rsid w:val="00320418"/>
    <w:rsid w:val="003205A4"/>
    <w:rsid w:val="00323327"/>
    <w:rsid w:val="00323F14"/>
    <w:rsid w:val="003253AC"/>
    <w:rsid w:val="00325C56"/>
    <w:rsid w:val="003261AB"/>
    <w:rsid w:val="003322AF"/>
    <w:rsid w:val="00333AB3"/>
    <w:rsid w:val="00335E00"/>
    <w:rsid w:val="00335F79"/>
    <w:rsid w:val="003364CF"/>
    <w:rsid w:val="003368D3"/>
    <w:rsid w:val="00336A1A"/>
    <w:rsid w:val="00336CB4"/>
    <w:rsid w:val="00341905"/>
    <w:rsid w:val="00341A3C"/>
    <w:rsid w:val="00342497"/>
    <w:rsid w:val="00344113"/>
    <w:rsid w:val="00345F43"/>
    <w:rsid w:val="00346F8F"/>
    <w:rsid w:val="003514BC"/>
    <w:rsid w:val="0035197B"/>
    <w:rsid w:val="00354F48"/>
    <w:rsid w:val="003554E3"/>
    <w:rsid w:val="00356BFB"/>
    <w:rsid w:val="003570AD"/>
    <w:rsid w:val="00360CFC"/>
    <w:rsid w:val="00361F1F"/>
    <w:rsid w:val="0036207A"/>
    <w:rsid w:val="003627D9"/>
    <w:rsid w:val="0036448F"/>
    <w:rsid w:val="00364E68"/>
    <w:rsid w:val="0036757B"/>
    <w:rsid w:val="00370973"/>
    <w:rsid w:val="00372011"/>
    <w:rsid w:val="00372ED9"/>
    <w:rsid w:val="00373450"/>
    <w:rsid w:val="00375EE9"/>
    <w:rsid w:val="00381627"/>
    <w:rsid w:val="0038240A"/>
    <w:rsid w:val="00391210"/>
    <w:rsid w:val="00391D27"/>
    <w:rsid w:val="00392C32"/>
    <w:rsid w:val="00394D55"/>
    <w:rsid w:val="003966BD"/>
    <w:rsid w:val="00396986"/>
    <w:rsid w:val="003A05C2"/>
    <w:rsid w:val="003A1458"/>
    <w:rsid w:val="003A1481"/>
    <w:rsid w:val="003A19BC"/>
    <w:rsid w:val="003A3279"/>
    <w:rsid w:val="003A4E00"/>
    <w:rsid w:val="003A5627"/>
    <w:rsid w:val="003A67F6"/>
    <w:rsid w:val="003A6B64"/>
    <w:rsid w:val="003A778C"/>
    <w:rsid w:val="003B02FA"/>
    <w:rsid w:val="003B065D"/>
    <w:rsid w:val="003B1A5C"/>
    <w:rsid w:val="003B2D98"/>
    <w:rsid w:val="003B478D"/>
    <w:rsid w:val="003B47A7"/>
    <w:rsid w:val="003B47DB"/>
    <w:rsid w:val="003B6CB7"/>
    <w:rsid w:val="003B7DC2"/>
    <w:rsid w:val="003C1CC0"/>
    <w:rsid w:val="003C1F96"/>
    <w:rsid w:val="003C2517"/>
    <w:rsid w:val="003C306F"/>
    <w:rsid w:val="003C372B"/>
    <w:rsid w:val="003C3D78"/>
    <w:rsid w:val="003C4EE8"/>
    <w:rsid w:val="003C5CB1"/>
    <w:rsid w:val="003C6439"/>
    <w:rsid w:val="003D002B"/>
    <w:rsid w:val="003D1B02"/>
    <w:rsid w:val="003D2403"/>
    <w:rsid w:val="003D69B8"/>
    <w:rsid w:val="003D775A"/>
    <w:rsid w:val="003D77E4"/>
    <w:rsid w:val="003D7FFB"/>
    <w:rsid w:val="003E1606"/>
    <w:rsid w:val="003E2725"/>
    <w:rsid w:val="003E2E9C"/>
    <w:rsid w:val="003E4464"/>
    <w:rsid w:val="003E5108"/>
    <w:rsid w:val="003E637F"/>
    <w:rsid w:val="003E6A34"/>
    <w:rsid w:val="003E7751"/>
    <w:rsid w:val="003F07E9"/>
    <w:rsid w:val="003F0A19"/>
    <w:rsid w:val="003F2613"/>
    <w:rsid w:val="003F2E9A"/>
    <w:rsid w:val="003F3CDF"/>
    <w:rsid w:val="003F4582"/>
    <w:rsid w:val="003F513D"/>
    <w:rsid w:val="003F7CD3"/>
    <w:rsid w:val="004029C6"/>
    <w:rsid w:val="00402F8F"/>
    <w:rsid w:val="00403AB4"/>
    <w:rsid w:val="00404CCB"/>
    <w:rsid w:val="00412797"/>
    <w:rsid w:val="00416EA2"/>
    <w:rsid w:val="00417F2B"/>
    <w:rsid w:val="004216A1"/>
    <w:rsid w:val="00422E3A"/>
    <w:rsid w:val="00422FB5"/>
    <w:rsid w:val="00423A65"/>
    <w:rsid w:val="0042438F"/>
    <w:rsid w:val="00425FFA"/>
    <w:rsid w:val="00432DDA"/>
    <w:rsid w:val="004334E4"/>
    <w:rsid w:val="00435089"/>
    <w:rsid w:val="00437188"/>
    <w:rsid w:val="004400A6"/>
    <w:rsid w:val="004415FE"/>
    <w:rsid w:val="00441BAA"/>
    <w:rsid w:val="00442530"/>
    <w:rsid w:val="004433F1"/>
    <w:rsid w:val="004437FF"/>
    <w:rsid w:val="00444FE9"/>
    <w:rsid w:val="00450C48"/>
    <w:rsid w:val="00453085"/>
    <w:rsid w:val="004536B4"/>
    <w:rsid w:val="0045427E"/>
    <w:rsid w:val="0045621B"/>
    <w:rsid w:val="00457400"/>
    <w:rsid w:val="00462338"/>
    <w:rsid w:val="00463BB7"/>
    <w:rsid w:val="00463BFF"/>
    <w:rsid w:val="004651CF"/>
    <w:rsid w:val="00470030"/>
    <w:rsid w:val="004704F4"/>
    <w:rsid w:val="00470F09"/>
    <w:rsid w:val="004752FB"/>
    <w:rsid w:val="0047595D"/>
    <w:rsid w:val="00475ABA"/>
    <w:rsid w:val="004818F3"/>
    <w:rsid w:val="004819C5"/>
    <w:rsid w:val="004824A9"/>
    <w:rsid w:val="00482A09"/>
    <w:rsid w:val="0048316F"/>
    <w:rsid w:val="0048390A"/>
    <w:rsid w:val="0048411F"/>
    <w:rsid w:val="00485A26"/>
    <w:rsid w:val="004867B9"/>
    <w:rsid w:val="004868F8"/>
    <w:rsid w:val="0049211A"/>
    <w:rsid w:val="004941A8"/>
    <w:rsid w:val="0049628B"/>
    <w:rsid w:val="00497DED"/>
    <w:rsid w:val="004A0864"/>
    <w:rsid w:val="004A0DB9"/>
    <w:rsid w:val="004A2708"/>
    <w:rsid w:val="004A29E4"/>
    <w:rsid w:val="004A2E9A"/>
    <w:rsid w:val="004A43AF"/>
    <w:rsid w:val="004A5C14"/>
    <w:rsid w:val="004A5CFB"/>
    <w:rsid w:val="004A7ED2"/>
    <w:rsid w:val="004B3017"/>
    <w:rsid w:val="004B55FC"/>
    <w:rsid w:val="004B6779"/>
    <w:rsid w:val="004B6BDC"/>
    <w:rsid w:val="004B6D60"/>
    <w:rsid w:val="004B7C84"/>
    <w:rsid w:val="004C691A"/>
    <w:rsid w:val="004C7E9C"/>
    <w:rsid w:val="004D1D20"/>
    <w:rsid w:val="004D1EE3"/>
    <w:rsid w:val="004D39D9"/>
    <w:rsid w:val="004D3EEE"/>
    <w:rsid w:val="004D58EF"/>
    <w:rsid w:val="004D6F8F"/>
    <w:rsid w:val="004E047B"/>
    <w:rsid w:val="004E09AF"/>
    <w:rsid w:val="004E22CB"/>
    <w:rsid w:val="004E3EE3"/>
    <w:rsid w:val="004E4A1E"/>
    <w:rsid w:val="004E5396"/>
    <w:rsid w:val="004E6DBE"/>
    <w:rsid w:val="004E7533"/>
    <w:rsid w:val="004E7EA7"/>
    <w:rsid w:val="004F0C8B"/>
    <w:rsid w:val="004F578D"/>
    <w:rsid w:val="004F620F"/>
    <w:rsid w:val="004F696E"/>
    <w:rsid w:val="005009D7"/>
    <w:rsid w:val="00500B47"/>
    <w:rsid w:val="00500D9C"/>
    <w:rsid w:val="00501BDA"/>
    <w:rsid w:val="00502CDB"/>
    <w:rsid w:val="00503110"/>
    <w:rsid w:val="00503CC7"/>
    <w:rsid w:val="00504AAB"/>
    <w:rsid w:val="0050513A"/>
    <w:rsid w:val="005058A1"/>
    <w:rsid w:val="00506200"/>
    <w:rsid w:val="005062F3"/>
    <w:rsid w:val="005074D3"/>
    <w:rsid w:val="00507719"/>
    <w:rsid w:val="00510ADA"/>
    <w:rsid w:val="0051151A"/>
    <w:rsid w:val="0051377B"/>
    <w:rsid w:val="0051696A"/>
    <w:rsid w:val="00520158"/>
    <w:rsid w:val="005202D0"/>
    <w:rsid w:val="0052042C"/>
    <w:rsid w:val="00522173"/>
    <w:rsid w:val="00525720"/>
    <w:rsid w:val="00525CF2"/>
    <w:rsid w:val="00526988"/>
    <w:rsid w:val="00527196"/>
    <w:rsid w:val="00530B6B"/>
    <w:rsid w:val="00530CA2"/>
    <w:rsid w:val="00531AE9"/>
    <w:rsid w:val="00531F99"/>
    <w:rsid w:val="00532395"/>
    <w:rsid w:val="00533D47"/>
    <w:rsid w:val="00536D52"/>
    <w:rsid w:val="00536E28"/>
    <w:rsid w:val="005402BD"/>
    <w:rsid w:val="00540FB9"/>
    <w:rsid w:val="00541B23"/>
    <w:rsid w:val="00541B2F"/>
    <w:rsid w:val="005420BF"/>
    <w:rsid w:val="00543FDE"/>
    <w:rsid w:val="00545CC1"/>
    <w:rsid w:val="0054680A"/>
    <w:rsid w:val="0054740C"/>
    <w:rsid w:val="00547726"/>
    <w:rsid w:val="00550F71"/>
    <w:rsid w:val="00551555"/>
    <w:rsid w:val="005519E0"/>
    <w:rsid w:val="005526A9"/>
    <w:rsid w:val="005537AA"/>
    <w:rsid w:val="00554CC6"/>
    <w:rsid w:val="00555444"/>
    <w:rsid w:val="00555AB1"/>
    <w:rsid w:val="005578AB"/>
    <w:rsid w:val="00561A00"/>
    <w:rsid w:val="00563646"/>
    <w:rsid w:val="00563DA5"/>
    <w:rsid w:val="00565FFE"/>
    <w:rsid w:val="0056690B"/>
    <w:rsid w:val="00570ADC"/>
    <w:rsid w:val="00571D36"/>
    <w:rsid w:val="005720F9"/>
    <w:rsid w:val="0057323B"/>
    <w:rsid w:val="00573AD2"/>
    <w:rsid w:val="00573E86"/>
    <w:rsid w:val="0057426E"/>
    <w:rsid w:val="005751F9"/>
    <w:rsid w:val="00577BE3"/>
    <w:rsid w:val="00580CFC"/>
    <w:rsid w:val="00580DB2"/>
    <w:rsid w:val="00581F8E"/>
    <w:rsid w:val="0058204A"/>
    <w:rsid w:val="00586C41"/>
    <w:rsid w:val="0059213D"/>
    <w:rsid w:val="005922A6"/>
    <w:rsid w:val="0059662B"/>
    <w:rsid w:val="0059699E"/>
    <w:rsid w:val="005973ED"/>
    <w:rsid w:val="005A1222"/>
    <w:rsid w:val="005A2D93"/>
    <w:rsid w:val="005A5419"/>
    <w:rsid w:val="005A78BB"/>
    <w:rsid w:val="005B3946"/>
    <w:rsid w:val="005B396B"/>
    <w:rsid w:val="005B47F4"/>
    <w:rsid w:val="005B5C98"/>
    <w:rsid w:val="005C2C83"/>
    <w:rsid w:val="005C2C94"/>
    <w:rsid w:val="005C4435"/>
    <w:rsid w:val="005C4907"/>
    <w:rsid w:val="005C4E52"/>
    <w:rsid w:val="005C57C3"/>
    <w:rsid w:val="005C58ED"/>
    <w:rsid w:val="005C5E34"/>
    <w:rsid w:val="005D0AAA"/>
    <w:rsid w:val="005D178C"/>
    <w:rsid w:val="005D1E66"/>
    <w:rsid w:val="005D3641"/>
    <w:rsid w:val="005D3EFA"/>
    <w:rsid w:val="005D4114"/>
    <w:rsid w:val="005D4F58"/>
    <w:rsid w:val="005D7939"/>
    <w:rsid w:val="005D7D4B"/>
    <w:rsid w:val="005E00E2"/>
    <w:rsid w:val="005E09C1"/>
    <w:rsid w:val="005E0B8D"/>
    <w:rsid w:val="005E0CE5"/>
    <w:rsid w:val="005E15B3"/>
    <w:rsid w:val="005E65B6"/>
    <w:rsid w:val="005E7EED"/>
    <w:rsid w:val="005F1517"/>
    <w:rsid w:val="005F2154"/>
    <w:rsid w:val="005F36B3"/>
    <w:rsid w:val="005F3D28"/>
    <w:rsid w:val="005F3E10"/>
    <w:rsid w:val="005F4887"/>
    <w:rsid w:val="005F51CD"/>
    <w:rsid w:val="005F5798"/>
    <w:rsid w:val="0060097D"/>
    <w:rsid w:val="00600B9B"/>
    <w:rsid w:val="00601E6E"/>
    <w:rsid w:val="0061375F"/>
    <w:rsid w:val="00614A69"/>
    <w:rsid w:val="006155D4"/>
    <w:rsid w:val="00620631"/>
    <w:rsid w:val="00620AA3"/>
    <w:rsid w:val="00621BFE"/>
    <w:rsid w:val="00623162"/>
    <w:rsid w:val="0062635C"/>
    <w:rsid w:val="0062652B"/>
    <w:rsid w:val="00627D96"/>
    <w:rsid w:val="006325AC"/>
    <w:rsid w:val="006337E4"/>
    <w:rsid w:val="006343A8"/>
    <w:rsid w:val="00640F46"/>
    <w:rsid w:val="00641D9C"/>
    <w:rsid w:val="0064427E"/>
    <w:rsid w:val="00644632"/>
    <w:rsid w:val="006452C8"/>
    <w:rsid w:val="00645E7F"/>
    <w:rsid w:val="006468BC"/>
    <w:rsid w:val="00650486"/>
    <w:rsid w:val="006557D2"/>
    <w:rsid w:val="00655D5B"/>
    <w:rsid w:val="00657E42"/>
    <w:rsid w:val="00662AD5"/>
    <w:rsid w:val="006632CC"/>
    <w:rsid w:val="00664575"/>
    <w:rsid w:val="00666720"/>
    <w:rsid w:val="00667619"/>
    <w:rsid w:val="0067014F"/>
    <w:rsid w:val="00670184"/>
    <w:rsid w:val="00670BE8"/>
    <w:rsid w:val="006721C7"/>
    <w:rsid w:val="0067611B"/>
    <w:rsid w:val="00676A30"/>
    <w:rsid w:val="006771BC"/>
    <w:rsid w:val="0068086C"/>
    <w:rsid w:val="0068088E"/>
    <w:rsid w:val="00680C0C"/>
    <w:rsid w:val="0068153D"/>
    <w:rsid w:val="006836AF"/>
    <w:rsid w:val="006836D4"/>
    <w:rsid w:val="00683B1E"/>
    <w:rsid w:val="006875C6"/>
    <w:rsid w:val="00693305"/>
    <w:rsid w:val="006938D7"/>
    <w:rsid w:val="00694A11"/>
    <w:rsid w:val="006958EC"/>
    <w:rsid w:val="006A01AD"/>
    <w:rsid w:val="006A1F7B"/>
    <w:rsid w:val="006A2152"/>
    <w:rsid w:val="006A2C27"/>
    <w:rsid w:val="006A530D"/>
    <w:rsid w:val="006A5571"/>
    <w:rsid w:val="006A56CF"/>
    <w:rsid w:val="006A6991"/>
    <w:rsid w:val="006B1214"/>
    <w:rsid w:val="006B153A"/>
    <w:rsid w:val="006B207F"/>
    <w:rsid w:val="006B23AB"/>
    <w:rsid w:val="006B2494"/>
    <w:rsid w:val="006B24E4"/>
    <w:rsid w:val="006B3975"/>
    <w:rsid w:val="006B4001"/>
    <w:rsid w:val="006B5BE5"/>
    <w:rsid w:val="006B603F"/>
    <w:rsid w:val="006B6F0D"/>
    <w:rsid w:val="006B78E7"/>
    <w:rsid w:val="006C105A"/>
    <w:rsid w:val="006C16C6"/>
    <w:rsid w:val="006C410D"/>
    <w:rsid w:val="006C6589"/>
    <w:rsid w:val="006C7624"/>
    <w:rsid w:val="006D094E"/>
    <w:rsid w:val="006D0F09"/>
    <w:rsid w:val="006D1C52"/>
    <w:rsid w:val="006D1F49"/>
    <w:rsid w:val="006D20FE"/>
    <w:rsid w:val="006D2803"/>
    <w:rsid w:val="006D37E8"/>
    <w:rsid w:val="006D5D33"/>
    <w:rsid w:val="006D5D43"/>
    <w:rsid w:val="006D759A"/>
    <w:rsid w:val="006D7C4B"/>
    <w:rsid w:val="006E1157"/>
    <w:rsid w:val="006E1808"/>
    <w:rsid w:val="006E253C"/>
    <w:rsid w:val="006E3B1F"/>
    <w:rsid w:val="006E5CEC"/>
    <w:rsid w:val="006E739F"/>
    <w:rsid w:val="006F0F57"/>
    <w:rsid w:val="006F3926"/>
    <w:rsid w:val="006F4CDA"/>
    <w:rsid w:val="006F643E"/>
    <w:rsid w:val="00702F34"/>
    <w:rsid w:val="007030BE"/>
    <w:rsid w:val="007038FA"/>
    <w:rsid w:val="00707F7C"/>
    <w:rsid w:val="007104BD"/>
    <w:rsid w:val="00711A0E"/>
    <w:rsid w:val="007129C1"/>
    <w:rsid w:val="00714F24"/>
    <w:rsid w:val="007211D5"/>
    <w:rsid w:val="007221DD"/>
    <w:rsid w:val="00723530"/>
    <w:rsid w:val="00723ABB"/>
    <w:rsid w:val="00724605"/>
    <w:rsid w:val="007256C6"/>
    <w:rsid w:val="00731018"/>
    <w:rsid w:val="007311E7"/>
    <w:rsid w:val="00733434"/>
    <w:rsid w:val="00735C9D"/>
    <w:rsid w:val="00736969"/>
    <w:rsid w:val="00736BE9"/>
    <w:rsid w:val="00737DF7"/>
    <w:rsid w:val="00740985"/>
    <w:rsid w:val="007409AF"/>
    <w:rsid w:val="00740A5B"/>
    <w:rsid w:val="00744FE0"/>
    <w:rsid w:val="00745D90"/>
    <w:rsid w:val="00746B5E"/>
    <w:rsid w:val="00757669"/>
    <w:rsid w:val="007611C2"/>
    <w:rsid w:val="00763A58"/>
    <w:rsid w:val="0076477F"/>
    <w:rsid w:val="00764C50"/>
    <w:rsid w:val="00766310"/>
    <w:rsid w:val="00766977"/>
    <w:rsid w:val="00767762"/>
    <w:rsid w:val="00770A26"/>
    <w:rsid w:val="00771D41"/>
    <w:rsid w:val="00772212"/>
    <w:rsid w:val="007739C5"/>
    <w:rsid w:val="0077541C"/>
    <w:rsid w:val="00780132"/>
    <w:rsid w:val="0078062B"/>
    <w:rsid w:val="007826D4"/>
    <w:rsid w:val="00782CF7"/>
    <w:rsid w:val="00783C03"/>
    <w:rsid w:val="00783C99"/>
    <w:rsid w:val="00783FA2"/>
    <w:rsid w:val="00786EFC"/>
    <w:rsid w:val="007909C5"/>
    <w:rsid w:val="00793122"/>
    <w:rsid w:val="007934EF"/>
    <w:rsid w:val="0079368F"/>
    <w:rsid w:val="00794463"/>
    <w:rsid w:val="007949C5"/>
    <w:rsid w:val="007A1FF9"/>
    <w:rsid w:val="007A5623"/>
    <w:rsid w:val="007A56BB"/>
    <w:rsid w:val="007A67A6"/>
    <w:rsid w:val="007A6BB9"/>
    <w:rsid w:val="007A7D82"/>
    <w:rsid w:val="007B0102"/>
    <w:rsid w:val="007B1055"/>
    <w:rsid w:val="007B2821"/>
    <w:rsid w:val="007B6AD8"/>
    <w:rsid w:val="007B7BC1"/>
    <w:rsid w:val="007C3FE2"/>
    <w:rsid w:val="007C4B1E"/>
    <w:rsid w:val="007C5B8F"/>
    <w:rsid w:val="007C5DE4"/>
    <w:rsid w:val="007C6529"/>
    <w:rsid w:val="007C6A7E"/>
    <w:rsid w:val="007C70CD"/>
    <w:rsid w:val="007C737A"/>
    <w:rsid w:val="007C7B58"/>
    <w:rsid w:val="007D1068"/>
    <w:rsid w:val="007D5B1C"/>
    <w:rsid w:val="007D7119"/>
    <w:rsid w:val="007D72F1"/>
    <w:rsid w:val="007D767C"/>
    <w:rsid w:val="007E3729"/>
    <w:rsid w:val="007E3885"/>
    <w:rsid w:val="007E3D2D"/>
    <w:rsid w:val="007E3EEE"/>
    <w:rsid w:val="007E56DD"/>
    <w:rsid w:val="007E6AF9"/>
    <w:rsid w:val="007F0EE1"/>
    <w:rsid w:val="007F1741"/>
    <w:rsid w:val="007F1E91"/>
    <w:rsid w:val="007F42F3"/>
    <w:rsid w:val="007F55C7"/>
    <w:rsid w:val="007F6A71"/>
    <w:rsid w:val="008000DD"/>
    <w:rsid w:val="00800162"/>
    <w:rsid w:val="00801716"/>
    <w:rsid w:val="008018B0"/>
    <w:rsid w:val="00801923"/>
    <w:rsid w:val="00801E82"/>
    <w:rsid w:val="008033C7"/>
    <w:rsid w:val="00804108"/>
    <w:rsid w:val="0080693A"/>
    <w:rsid w:val="00806DB0"/>
    <w:rsid w:val="0080799E"/>
    <w:rsid w:val="00811137"/>
    <w:rsid w:val="008114AF"/>
    <w:rsid w:val="00812599"/>
    <w:rsid w:val="00813B0D"/>
    <w:rsid w:val="00814B27"/>
    <w:rsid w:val="00817566"/>
    <w:rsid w:val="00822821"/>
    <w:rsid w:val="008248A1"/>
    <w:rsid w:val="00824B3C"/>
    <w:rsid w:val="00825067"/>
    <w:rsid w:val="0082655C"/>
    <w:rsid w:val="008273BA"/>
    <w:rsid w:val="00827818"/>
    <w:rsid w:val="008304BC"/>
    <w:rsid w:val="008313F5"/>
    <w:rsid w:val="00831CC3"/>
    <w:rsid w:val="00832782"/>
    <w:rsid w:val="0084029F"/>
    <w:rsid w:val="00841B6F"/>
    <w:rsid w:val="0084282E"/>
    <w:rsid w:val="00842F20"/>
    <w:rsid w:val="008440EF"/>
    <w:rsid w:val="00851566"/>
    <w:rsid w:val="00854DF7"/>
    <w:rsid w:val="00856325"/>
    <w:rsid w:val="008574AF"/>
    <w:rsid w:val="00857B42"/>
    <w:rsid w:val="00857F0F"/>
    <w:rsid w:val="0086172D"/>
    <w:rsid w:val="00861863"/>
    <w:rsid w:val="008627C6"/>
    <w:rsid w:val="00862B28"/>
    <w:rsid w:val="00862B48"/>
    <w:rsid w:val="008650A3"/>
    <w:rsid w:val="008659A2"/>
    <w:rsid w:val="00867445"/>
    <w:rsid w:val="00870853"/>
    <w:rsid w:val="008709B5"/>
    <w:rsid w:val="00873734"/>
    <w:rsid w:val="008764EC"/>
    <w:rsid w:val="00876DDF"/>
    <w:rsid w:val="0087773D"/>
    <w:rsid w:val="00880C5E"/>
    <w:rsid w:val="00881519"/>
    <w:rsid w:val="008824AB"/>
    <w:rsid w:val="00882E23"/>
    <w:rsid w:val="00886503"/>
    <w:rsid w:val="00886595"/>
    <w:rsid w:val="008871F2"/>
    <w:rsid w:val="00887607"/>
    <w:rsid w:val="008909AA"/>
    <w:rsid w:val="00890A08"/>
    <w:rsid w:val="00892996"/>
    <w:rsid w:val="0089362F"/>
    <w:rsid w:val="008938A3"/>
    <w:rsid w:val="00894315"/>
    <w:rsid w:val="00894DFB"/>
    <w:rsid w:val="00894E1D"/>
    <w:rsid w:val="00895077"/>
    <w:rsid w:val="008951AC"/>
    <w:rsid w:val="00896781"/>
    <w:rsid w:val="00896E40"/>
    <w:rsid w:val="008979EF"/>
    <w:rsid w:val="008A0F03"/>
    <w:rsid w:val="008A1802"/>
    <w:rsid w:val="008A3681"/>
    <w:rsid w:val="008A3DBB"/>
    <w:rsid w:val="008A3E02"/>
    <w:rsid w:val="008A700B"/>
    <w:rsid w:val="008A78E9"/>
    <w:rsid w:val="008B1109"/>
    <w:rsid w:val="008B192A"/>
    <w:rsid w:val="008B1FBC"/>
    <w:rsid w:val="008B5387"/>
    <w:rsid w:val="008B588A"/>
    <w:rsid w:val="008C18CC"/>
    <w:rsid w:val="008C207D"/>
    <w:rsid w:val="008C2E98"/>
    <w:rsid w:val="008C447C"/>
    <w:rsid w:val="008C6BE1"/>
    <w:rsid w:val="008C7D52"/>
    <w:rsid w:val="008D0324"/>
    <w:rsid w:val="008D1D36"/>
    <w:rsid w:val="008D39EB"/>
    <w:rsid w:val="008D41AF"/>
    <w:rsid w:val="008D4FE9"/>
    <w:rsid w:val="008D6734"/>
    <w:rsid w:val="008E3692"/>
    <w:rsid w:val="008E4F34"/>
    <w:rsid w:val="008E5B16"/>
    <w:rsid w:val="008E6891"/>
    <w:rsid w:val="008F1067"/>
    <w:rsid w:val="008F1F21"/>
    <w:rsid w:val="008F3E94"/>
    <w:rsid w:val="008F4261"/>
    <w:rsid w:val="008F471F"/>
    <w:rsid w:val="008F59DC"/>
    <w:rsid w:val="008F5ECF"/>
    <w:rsid w:val="008F63FB"/>
    <w:rsid w:val="00902336"/>
    <w:rsid w:val="009031B0"/>
    <w:rsid w:val="009053EF"/>
    <w:rsid w:val="00906A61"/>
    <w:rsid w:val="00906AE3"/>
    <w:rsid w:val="00912256"/>
    <w:rsid w:val="009210C8"/>
    <w:rsid w:val="009220BB"/>
    <w:rsid w:val="009230C7"/>
    <w:rsid w:val="0092415E"/>
    <w:rsid w:val="0092452F"/>
    <w:rsid w:val="00925CB8"/>
    <w:rsid w:val="0092729B"/>
    <w:rsid w:val="0092775B"/>
    <w:rsid w:val="009310D5"/>
    <w:rsid w:val="00931608"/>
    <w:rsid w:val="00932AF6"/>
    <w:rsid w:val="00933318"/>
    <w:rsid w:val="00936ED6"/>
    <w:rsid w:val="00937176"/>
    <w:rsid w:val="00940F34"/>
    <w:rsid w:val="009424A1"/>
    <w:rsid w:val="00942E9B"/>
    <w:rsid w:val="00943D8D"/>
    <w:rsid w:val="009457CF"/>
    <w:rsid w:val="00945C62"/>
    <w:rsid w:val="00945CB2"/>
    <w:rsid w:val="00946211"/>
    <w:rsid w:val="00952518"/>
    <w:rsid w:val="00952BC1"/>
    <w:rsid w:val="00953013"/>
    <w:rsid w:val="00954D11"/>
    <w:rsid w:val="00957D57"/>
    <w:rsid w:val="0096193C"/>
    <w:rsid w:val="00961E39"/>
    <w:rsid w:val="009639B8"/>
    <w:rsid w:val="00965D0B"/>
    <w:rsid w:val="009673A3"/>
    <w:rsid w:val="009678C3"/>
    <w:rsid w:val="00967D36"/>
    <w:rsid w:val="00970725"/>
    <w:rsid w:val="009709D7"/>
    <w:rsid w:val="009711A4"/>
    <w:rsid w:val="00971E57"/>
    <w:rsid w:val="00972B37"/>
    <w:rsid w:val="009746B5"/>
    <w:rsid w:val="009755E3"/>
    <w:rsid w:val="00975E2D"/>
    <w:rsid w:val="009761E2"/>
    <w:rsid w:val="009765E9"/>
    <w:rsid w:val="00977890"/>
    <w:rsid w:val="00981590"/>
    <w:rsid w:val="0098200F"/>
    <w:rsid w:val="00982B15"/>
    <w:rsid w:val="009854E0"/>
    <w:rsid w:val="00985B66"/>
    <w:rsid w:val="00986F9C"/>
    <w:rsid w:val="00987110"/>
    <w:rsid w:val="009918E0"/>
    <w:rsid w:val="0099190E"/>
    <w:rsid w:val="0099235F"/>
    <w:rsid w:val="009948D5"/>
    <w:rsid w:val="00994FE9"/>
    <w:rsid w:val="00995C9C"/>
    <w:rsid w:val="0099710F"/>
    <w:rsid w:val="009A0705"/>
    <w:rsid w:val="009A0C57"/>
    <w:rsid w:val="009A13D1"/>
    <w:rsid w:val="009A2269"/>
    <w:rsid w:val="009A31F0"/>
    <w:rsid w:val="009A32DA"/>
    <w:rsid w:val="009A350A"/>
    <w:rsid w:val="009A6A11"/>
    <w:rsid w:val="009A7883"/>
    <w:rsid w:val="009B0892"/>
    <w:rsid w:val="009B1EF6"/>
    <w:rsid w:val="009B3B00"/>
    <w:rsid w:val="009B3DED"/>
    <w:rsid w:val="009B5DBF"/>
    <w:rsid w:val="009B7B23"/>
    <w:rsid w:val="009C0AD6"/>
    <w:rsid w:val="009C175C"/>
    <w:rsid w:val="009C1A2B"/>
    <w:rsid w:val="009C2676"/>
    <w:rsid w:val="009C4489"/>
    <w:rsid w:val="009C522B"/>
    <w:rsid w:val="009C5DA9"/>
    <w:rsid w:val="009C6C71"/>
    <w:rsid w:val="009C7FC0"/>
    <w:rsid w:val="009D4B30"/>
    <w:rsid w:val="009D58B3"/>
    <w:rsid w:val="009D6554"/>
    <w:rsid w:val="009D6704"/>
    <w:rsid w:val="009D6E65"/>
    <w:rsid w:val="009D7779"/>
    <w:rsid w:val="009D77F5"/>
    <w:rsid w:val="009E1645"/>
    <w:rsid w:val="009E261F"/>
    <w:rsid w:val="009E3575"/>
    <w:rsid w:val="009E3D0D"/>
    <w:rsid w:val="009E461B"/>
    <w:rsid w:val="009E594B"/>
    <w:rsid w:val="009E5DF0"/>
    <w:rsid w:val="009E7BC0"/>
    <w:rsid w:val="009F06AF"/>
    <w:rsid w:val="009F14F4"/>
    <w:rsid w:val="009F1D22"/>
    <w:rsid w:val="009F26F1"/>
    <w:rsid w:val="009F403D"/>
    <w:rsid w:val="009F4512"/>
    <w:rsid w:val="009F6695"/>
    <w:rsid w:val="009F6B25"/>
    <w:rsid w:val="009F7A3A"/>
    <w:rsid w:val="009F7A92"/>
    <w:rsid w:val="009F7EEC"/>
    <w:rsid w:val="00A01CFC"/>
    <w:rsid w:val="00A02237"/>
    <w:rsid w:val="00A0528B"/>
    <w:rsid w:val="00A069CD"/>
    <w:rsid w:val="00A06D1D"/>
    <w:rsid w:val="00A07531"/>
    <w:rsid w:val="00A0796A"/>
    <w:rsid w:val="00A07DA0"/>
    <w:rsid w:val="00A10FAA"/>
    <w:rsid w:val="00A11199"/>
    <w:rsid w:val="00A11FC7"/>
    <w:rsid w:val="00A13339"/>
    <w:rsid w:val="00A13914"/>
    <w:rsid w:val="00A13A93"/>
    <w:rsid w:val="00A166A0"/>
    <w:rsid w:val="00A17D0C"/>
    <w:rsid w:val="00A20A28"/>
    <w:rsid w:val="00A23361"/>
    <w:rsid w:val="00A30DBE"/>
    <w:rsid w:val="00A31937"/>
    <w:rsid w:val="00A3360F"/>
    <w:rsid w:val="00A35BAC"/>
    <w:rsid w:val="00A3660F"/>
    <w:rsid w:val="00A406C4"/>
    <w:rsid w:val="00A43FC4"/>
    <w:rsid w:val="00A44251"/>
    <w:rsid w:val="00A4430E"/>
    <w:rsid w:val="00A44DAE"/>
    <w:rsid w:val="00A460F4"/>
    <w:rsid w:val="00A46AFA"/>
    <w:rsid w:val="00A4788F"/>
    <w:rsid w:val="00A50023"/>
    <w:rsid w:val="00A53833"/>
    <w:rsid w:val="00A55DC7"/>
    <w:rsid w:val="00A565C1"/>
    <w:rsid w:val="00A5742D"/>
    <w:rsid w:val="00A60C62"/>
    <w:rsid w:val="00A64DE6"/>
    <w:rsid w:val="00A65568"/>
    <w:rsid w:val="00A66E74"/>
    <w:rsid w:val="00A70D97"/>
    <w:rsid w:val="00A71993"/>
    <w:rsid w:val="00A7328C"/>
    <w:rsid w:val="00A73304"/>
    <w:rsid w:val="00A739DF"/>
    <w:rsid w:val="00A746C1"/>
    <w:rsid w:val="00A74756"/>
    <w:rsid w:val="00A751D4"/>
    <w:rsid w:val="00A762CF"/>
    <w:rsid w:val="00A772D0"/>
    <w:rsid w:val="00A77722"/>
    <w:rsid w:val="00A80AF8"/>
    <w:rsid w:val="00A80EF4"/>
    <w:rsid w:val="00A8365D"/>
    <w:rsid w:val="00A838E6"/>
    <w:rsid w:val="00A85C94"/>
    <w:rsid w:val="00A8706A"/>
    <w:rsid w:val="00A87598"/>
    <w:rsid w:val="00A95273"/>
    <w:rsid w:val="00A95816"/>
    <w:rsid w:val="00A95DE6"/>
    <w:rsid w:val="00A97C29"/>
    <w:rsid w:val="00AA0043"/>
    <w:rsid w:val="00AA0528"/>
    <w:rsid w:val="00AA069C"/>
    <w:rsid w:val="00AA2AB8"/>
    <w:rsid w:val="00AA38A3"/>
    <w:rsid w:val="00AA4545"/>
    <w:rsid w:val="00AA47E5"/>
    <w:rsid w:val="00AA7591"/>
    <w:rsid w:val="00AB0A72"/>
    <w:rsid w:val="00AB0E43"/>
    <w:rsid w:val="00AB23D8"/>
    <w:rsid w:val="00AB4E24"/>
    <w:rsid w:val="00AB67EF"/>
    <w:rsid w:val="00AB6AE6"/>
    <w:rsid w:val="00AB7B1B"/>
    <w:rsid w:val="00AC08EB"/>
    <w:rsid w:val="00AC1C88"/>
    <w:rsid w:val="00AC222E"/>
    <w:rsid w:val="00AC3533"/>
    <w:rsid w:val="00AC35C8"/>
    <w:rsid w:val="00AC4343"/>
    <w:rsid w:val="00AC43FD"/>
    <w:rsid w:val="00AC5DF8"/>
    <w:rsid w:val="00AC792A"/>
    <w:rsid w:val="00AD120D"/>
    <w:rsid w:val="00AD181B"/>
    <w:rsid w:val="00AD4DD8"/>
    <w:rsid w:val="00AD5B0C"/>
    <w:rsid w:val="00AD606A"/>
    <w:rsid w:val="00AD6150"/>
    <w:rsid w:val="00AD7599"/>
    <w:rsid w:val="00AE07D3"/>
    <w:rsid w:val="00AE1AD1"/>
    <w:rsid w:val="00AE39C0"/>
    <w:rsid w:val="00AE3B46"/>
    <w:rsid w:val="00AE434B"/>
    <w:rsid w:val="00AE5A7C"/>
    <w:rsid w:val="00AE5B67"/>
    <w:rsid w:val="00AF03F6"/>
    <w:rsid w:val="00AF12AD"/>
    <w:rsid w:val="00AF27B0"/>
    <w:rsid w:val="00AF474A"/>
    <w:rsid w:val="00AF534B"/>
    <w:rsid w:val="00AF678C"/>
    <w:rsid w:val="00B016BE"/>
    <w:rsid w:val="00B01B80"/>
    <w:rsid w:val="00B033AA"/>
    <w:rsid w:val="00B06866"/>
    <w:rsid w:val="00B10735"/>
    <w:rsid w:val="00B11249"/>
    <w:rsid w:val="00B12253"/>
    <w:rsid w:val="00B12FC4"/>
    <w:rsid w:val="00B138C3"/>
    <w:rsid w:val="00B23DFA"/>
    <w:rsid w:val="00B23FC4"/>
    <w:rsid w:val="00B27CEC"/>
    <w:rsid w:val="00B336E6"/>
    <w:rsid w:val="00B34B55"/>
    <w:rsid w:val="00B356B4"/>
    <w:rsid w:val="00B363A4"/>
    <w:rsid w:val="00B4197E"/>
    <w:rsid w:val="00B427D2"/>
    <w:rsid w:val="00B4304B"/>
    <w:rsid w:val="00B433F1"/>
    <w:rsid w:val="00B4430A"/>
    <w:rsid w:val="00B446D9"/>
    <w:rsid w:val="00B450F1"/>
    <w:rsid w:val="00B50669"/>
    <w:rsid w:val="00B5138B"/>
    <w:rsid w:val="00B52DDE"/>
    <w:rsid w:val="00B533F8"/>
    <w:rsid w:val="00B54A21"/>
    <w:rsid w:val="00B56200"/>
    <w:rsid w:val="00B60003"/>
    <w:rsid w:val="00B64939"/>
    <w:rsid w:val="00B66289"/>
    <w:rsid w:val="00B71B20"/>
    <w:rsid w:val="00B72DBD"/>
    <w:rsid w:val="00B7489C"/>
    <w:rsid w:val="00B74EED"/>
    <w:rsid w:val="00B758EC"/>
    <w:rsid w:val="00B769F7"/>
    <w:rsid w:val="00B77554"/>
    <w:rsid w:val="00B80548"/>
    <w:rsid w:val="00B80910"/>
    <w:rsid w:val="00B80AEF"/>
    <w:rsid w:val="00B80E9E"/>
    <w:rsid w:val="00B81446"/>
    <w:rsid w:val="00B81628"/>
    <w:rsid w:val="00B81BA0"/>
    <w:rsid w:val="00B842B8"/>
    <w:rsid w:val="00B85702"/>
    <w:rsid w:val="00B8750C"/>
    <w:rsid w:val="00B879B8"/>
    <w:rsid w:val="00B87B84"/>
    <w:rsid w:val="00B929C7"/>
    <w:rsid w:val="00B931C1"/>
    <w:rsid w:val="00B9432B"/>
    <w:rsid w:val="00B94B37"/>
    <w:rsid w:val="00B958C9"/>
    <w:rsid w:val="00B96A0D"/>
    <w:rsid w:val="00BA40D4"/>
    <w:rsid w:val="00BA453D"/>
    <w:rsid w:val="00BA57A2"/>
    <w:rsid w:val="00BA6EC6"/>
    <w:rsid w:val="00BA7818"/>
    <w:rsid w:val="00BB10EA"/>
    <w:rsid w:val="00BB1DB9"/>
    <w:rsid w:val="00BB36B6"/>
    <w:rsid w:val="00BB483D"/>
    <w:rsid w:val="00BB5915"/>
    <w:rsid w:val="00BB5D64"/>
    <w:rsid w:val="00BB7C02"/>
    <w:rsid w:val="00BC075A"/>
    <w:rsid w:val="00BC2717"/>
    <w:rsid w:val="00BC2E05"/>
    <w:rsid w:val="00BC3853"/>
    <w:rsid w:val="00BC3F87"/>
    <w:rsid w:val="00BC4859"/>
    <w:rsid w:val="00BC53D6"/>
    <w:rsid w:val="00BC5CF7"/>
    <w:rsid w:val="00BD2E4B"/>
    <w:rsid w:val="00BD3FCF"/>
    <w:rsid w:val="00BD45BB"/>
    <w:rsid w:val="00BD534C"/>
    <w:rsid w:val="00BD700F"/>
    <w:rsid w:val="00BD733B"/>
    <w:rsid w:val="00BD73D7"/>
    <w:rsid w:val="00BE0AF8"/>
    <w:rsid w:val="00BE3A25"/>
    <w:rsid w:val="00BE3EFC"/>
    <w:rsid w:val="00BE465C"/>
    <w:rsid w:val="00BE4D59"/>
    <w:rsid w:val="00BE55D7"/>
    <w:rsid w:val="00BE5B90"/>
    <w:rsid w:val="00BE6218"/>
    <w:rsid w:val="00BE6922"/>
    <w:rsid w:val="00BF1682"/>
    <w:rsid w:val="00BF3DFC"/>
    <w:rsid w:val="00BF41FB"/>
    <w:rsid w:val="00BF4295"/>
    <w:rsid w:val="00BF5083"/>
    <w:rsid w:val="00BF6DE7"/>
    <w:rsid w:val="00BF7747"/>
    <w:rsid w:val="00C00364"/>
    <w:rsid w:val="00C007A3"/>
    <w:rsid w:val="00C00892"/>
    <w:rsid w:val="00C01AE4"/>
    <w:rsid w:val="00C04B8D"/>
    <w:rsid w:val="00C06EBF"/>
    <w:rsid w:val="00C07289"/>
    <w:rsid w:val="00C07F1A"/>
    <w:rsid w:val="00C108D1"/>
    <w:rsid w:val="00C11AFE"/>
    <w:rsid w:val="00C12A6C"/>
    <w:rsid w:val="00C16DB5"/>
    <w:rsid w:val="00C17761"/>
    <w:rsid w:val="00C17E9D"/>
    <w:rsid w:val="00C24E92"/>
    <w:rsid w:val="00C264F1"/>
    <w:rsid w:val="00C274E7"/>
    <w:rsid w:val="00C277D6"/>
    <w:rsid w:val="00C27FCA"/>
    <w:rsid w:val="00C3105C"/>
    <w:rsid w:val="00C31133"/>
    <w:rsid w:val="00C33985"/>
    <w:rsid w:val="00C34199"/>
    <w:rsid w:val="00C3469A"/>
    <w:rsid w:val="00C35C91"/>
    <w:rsid w:val="00C36044"/>
    <w:rsid w:val="00C3679D"/>
    <w:rsid w:val="00C36875"/>
    <w:rsid w:val="00C4031F"/>
    <w:rsid w:val="00C414B1"/>
    <w:rsid w:val="00C42316"/>
    <w:rsid w:val="00C43720"/>
    <w:rsid w:val="00C474E1"/>
    <w:rsid w:val="00C4793A"/>
    <w:rsid w:val="00C52B98"/>
    <w:rsid w:val="00C52D06"/>
    <w:rsid w:val="00C53C0D"/>
    <w:rsid w:val="00C55725"/>
    <w:rsid w:val="00C5793C"/>
    <w:rsid w:val="00C678B0"/>
    <w:rsid w:val="00C67FF8"/>
    <w:rsid w:val="00C7126E"/>
    <w:rsid w:val="00C71EAE"/>
    <w:rsid w:val="00C751AB"/>
    <w:rsid w:val="00C76460"/>
    <w:rsid w:val="00C81827"/>
    <w:rsid w:val="00C830B2"/>
    <w:rsid w:val="00C83A19"/>
    <w:rsid w:val="00C90B48"/>
    <w:rsid w:val="00C90BA4"/>
    <w:rsid w:val="00C90D4E"/>
    <w:rsid w:val="00C91D6E"/>
    <w:rsid w:val="00C9302D"/>
    <w:rsid w:val="00C944DE"/>
    <w:rsid w:val="00C9461B"/>
    <w:rsid w:val="00C97D15"/>
    <w:rsid w:val="00C97DF4"/>
    <w:rsid w:val="00C97EEC"/>
    <w:rsid w:val="00CA0EBC"/>
    <w:rsid w:val="00CA1B16"/>
    <w:rsid w:val="00CA3187"/>
    <w:rsid w:val="00CA6694"/>
    <w:rsid w:val="00CA6767"/>
    <w:rsid w:val="00CA72B9"/>
    <w:rsid w:val="00CA7A99"/>
    <w:rsid w:val="00CB18F1"/>
    <w:rsid w:val="00CB1ADD"/>
    <w:rsid w:val="00CB21AB"/>
    <w:rsid w:val="00CB59A5"/>
    <w:rsid w:val="00CB5BE8"/>
    <w:rsid w:val="00CB76D2"/>
    <w:rsid w:val="00CB7E00"/>
    <w:rsid w:val="00CC2022"/>
    <w:rsid w:val="00CC2505"/>
    <w:rsid w:val="00CC40D8"/>
    <w:rsid w:val="00CC50D9"/>
    <w:rsid w:val="00CD073E"/>
    <w:rsid w:val="00CD1002"/>
    <w:rsid w:val="00CD2B7C"/>
    <w:rsid w:val="00CD54A1"/>
    <w:rsid w:val="00CD61E8"/>
    <w:rsid w:val="00CE0088"/>
    <w:rsid w:val="00CE1535"/>
    <w:rsid w:val="00CE16C3"/>
    <w:rsid w:val="00CE20C8"/>
    <w:rsid w:val="00CE572A"/>
    <w:rsid w:val="00CE6951"/>
    <w:rsid w:val="00CF126B"/>
    <w:rsid w:val="00CF4EEF"/>
    <w:rsid w:val="00CF6239"/>
    <w:rsid w:val="00CF7697"/>
    <w:rsid w:val="00CF77CD"/>
    <w:rsid w:val="00D00E1B"/>
    <w:rsid w:val="00D02EF6"/>
    <w:rsid w:val="00D0633F"/>
    <w:rsid w:val="00D10416"/>
    <w:rsid w:val="00D10F87"/>
    <w:rsid w:val="00D13731"/>
    <w:rsid w:val="00D17C15"/>
    <w:rsid w:val="00D21EAA"/>
    <w:rsid w:val="00D24634"/>
    <w:rsid w:val="00D277FC"/>
    <w:rsid w:val="00D304C8"/>
    <w:rsid w:val="00D30C18"/>
    <w:rsid w:val="00D32203"/>
    <w:rsid w:val="00D328B9"/>
    <w:rsid w:val="00D332D5"/>
    <w:rsid w:val="00D33B57"/>
    <w:rsid w:val="00D34012"/>
    <w:rsid w:val="00D34790"/>
    <w:rsid w:val="00D368F9"/>
    <w:rsid w:val="00D36E89"/>
    <w:rsid w:val="00D41543"/>
    <w:rsid w:val="00D417C5"/>
    <w:rsid w:val="00D41927"/>
    <w:rsid w:val="00D4290C"/>
    <w:rsid w:val="00D44018"/>
    <w:rsid w:val="00D44263"/>
    <w:rsid w:val="00D443FE"/>
    <w:rsid w:val="00D4561F"/>
    <w:rsid w:val="00D45DFB"/>
    <w:rsid w:val="00D45EF9"/>
    <w:rsid w:val="00D46260"/>
    <w:rsid w:val="00D47152"/>
    <w:rsid w:val="00D47E32"/>
    <w:rsid w:val="00D50326"/>
    <w:rsid w:val="00D54E5F"/>
    <w:rsid w:val="00D57726"/>
    <w:rsid w:val="00D61663"/>
    <w:rsid w:val="00D619C5"/>
    <w:rsid w:val="00D621B9"/>
    <w:rsid w:val="00D62BA4"/>
    <w:rsid w:val="00D62CE2"/>
    <w:rsid w:val="00D646DF"/>
    <w:rsid w:val="00D653FA"/>
    <w:rsid w:val="00D714B6"/>
    <w:rsid w:val="00D73C56"/>
    <w:rsid w:val="00D74F01"/>
    <w:rsid w:val="00D75898"/>
    <w:rsid w:val="00D75CF2"/>
    <w:rsid w:val="00D77069"/>
    <w:rsid w:val="00D772CB"/>
    <w:rsid w:val="00D81117"/>
    <w:rsid w:val="00D8164D"/>
    <w:rsid w:val="00D82191"/>
    <w:rsid w:val="00D84B4E"/>
    <w:rsid w:val="00D9209C"/>
    <w:rsid w:val="00D92962"/>
    <w:rsid w:val="00D94F85"/>
    <w:rsid w:val="00D966CD"/>
    <w:rsid w:val="00D970A5"/>
    <w:rsid w:val="00D971A0"/>
    <w:rsid w:val="00D97D84"/>
    <w:rsid w:val="00DA08D4"/>
    <w:rsid w:val="00DA11CD"/>
    <w:rsid w:val="00DA3A3D"/>
    <w:rsid w:val="00DA5A8F"/>
    <w:rsid w:val="00DA61C5"/>
    <w:rsid w:val="00DA7299"/>
    <w:rsid w:val="00DA754F"/>
    <w:rsid w:val="00DB1316"/>
    <w:rsid w:val="00DB3F9F"/>
    <w:rsid w:val="00DB46B9"/>
    <w:rsid w:val="00DB5F3C"/>
    <w:rsid w:val="00DB7242"/>
    <w:rsid w:val="00DB74D1"/>
    <w:rsid w:val="00DC10EE"/>
    <w:rsid w:val="00DC2335"/>
    <w:rsid w:val="00DC2AFB"/>
    <w:rsid w:val="00DC3697"/>
    <w:rsid w:val="00DC3D90"/>
    <w:rsid w:val="00DC67DB"/>
    <w:rsid w:val="00DC6A38"/>
    <w:rsid w:val="00DC7EBD"/>
    <w:rsid w:val="00DD0319"/>
    <w:rsid w:val="00DD36B3"/>
    <w:rsid w:val="00DD3F5A"/>
    <w:rsid w:val="00DD5EC9"/>
    <w:rsid w:val="00DD679F"/>
    <w:rsid w:val="00DD7216"/>
    <w:rsid w:val="00DE082A"/>
    <w:rsid w:val="00DE25B6"/>
    <w:rsid w:val="00DE2756"/>
    <w:rsid w:val="00DE3E3B"/>
    <w:rsid w:val="00DE4AD0"/>
    <w:rsid w:val="00DE720C"/>
    <w:rsid w:val="00DF278B"/>
    <w:rsid w:val="00DF2957"/>
    <w:rsid w:val="00DF2AC3"/>
    <w:rsid w:val="00DF3853"/>
    <w:rsid w:val="00DF6CBC"/>
    <w:rsid w:val="00DF7AAF"/>
    <w:rsid w:val="00E00143"/>
    <w:rsid w:val="00E001A3"/>
    <w:rsid w:val="00E00B61"/>
    <w:rsid w:val="00E01121"/>
    <w:rsid w:val="00E02AE9"/>
    <w:rsid w:val="00E03834"/>
    <w:rsid w:val="00E05EE5"/>
    <w:rsid w:val="00E05F13"/>
    <w:rsid w:val="00E06C67"/>
    <w:rsid w:val="00E10D87"/>
    <w:rsid w:val="00E1197D"/>
    <w:rsid w:val="00E14245"/>
    <w:rsid w:val="00E1450A"/>
    <w:rsid w:val="00E14B4C"/>
    <w:rsid w:val="00E14F06"/>
    <w:rsid w:val="00E16090"/>
    <w:rsid w:val="00E16CDF"/>
    <w:rsid w:val="00E2089E"/>
    <w:rsid w:val="00E20E82"/>
    <w:rsid w:val="00E23055"/>
    <w:rsid w:val="00E23B05"/>
    <w:rsid w:val="00E243E5"/>
    <w:rsid w:val="00E24E01"/>
    <w:rsid w:val="00E25F65"/>
    <w:rsid w:val="00E3071D"/>
    <w:rsid w:val="00E318A8"/>
    <w:rsid w:val="00E31933"/>
    <w:rsid w:val="00E34D8D"/>
    <w:rsid w:val="00E34DA8"/>
    <w:rsid w:val="00E3708B"/>
    <w:rsid w:val="00E37565"/>
    <w:rsid w:val="00E40A91"/>
    <w:rsid w:val="00E432D8"/>
    <w:rsid w:val="00E45802"/>
    <w:rsid w:val="00E508BE"/>
    <w:rsid w:val="00E50BB6"/>
    <w:rsid w:val="00E50C9D"/>
    <w:rsid w:val="00E50C9F"/>
    <w:rsid w:val="00E5342E"/>
    <w:rsid w:val="00E539C3"/>
    <w:rsid w:val="00E53F5A"/>
    <w:rsid w:val="00E567D1"/>
    <w:rsid w:val="00E56CE2"/>
    <w:rsid w:val="00E57559"/>
    <w:rsid w:val="00E600F6"/>
    <w:rsid w:val="00E60B50"/>
    <w:rsid w:val="00E60B6D"/>
    <w:rsid w:val="00E63D65"/>
    <w:rsid w:val="00E6793C"/>
    <w:rsid w:val="00E67957"/>
    <w:rsid w:val="00E714F9"/>
    <w:rsid w:val="00E72E69"/>
    <w:rsid w:val="00E7724B"/>
    <w:rsid w:val="00E77C20"/>
    <w:rsid w:val="00E80AFA"/>
    <w:rsid w:val="00E854CF"/>
    <w:rsid w:val="00E90978"/>
    <w:rsid w:val="00E90C7D"/>
    <w:rsid w:val="00E9269F"/>
    <w:rsid w:val="00E942BF"/>
    <w:rsid w:val="00E95823"/>
    <w:rsid w:val="00E971DF"/>
    <w:rsid w:val="00EA0734"/>
    <w:rsid w:val="00EA1A26"/>
    <w:rsid w:val="00EA1B38"/>
    <w:rsid w:val="00EA3B14"/>
    <w:rsid w:val="00EA5918"/>
    <w:rsid w:val="00EA7BE3"/>
    <w:rsid w:val="00EA7F28"/>
    <w:rsid w:val="00EB0EAE"/>
    <w:rsid w:val="00EB1C16"/>
    <w:rsid w:val="00EB343C"/>
    <w:rsid w:val="00EB6355"/>
    <w:rsid w:val="00EC21E1"/>
    <w:rsid w:val="00EC2D29"/>
    <w:rsid w:val="00EC4D89"/>
    <w:rsid w:val="00EC7030"/>
    <w:rsid w:val="00EC771D"/>
    <w:rsid w:val="00ED26EB"/>
    <w:rsid w:val="00ED2B17"/>
    <w:rsid w:val="00ED3AAE"/>
    <w:rsid w:val="00ED3E79"/>
    <w:rsid w:val="00ED3F47"/>
    <w:rsid w:val="00EE0021"/>
    <w:rsid w:val="00EE1FDA"/>
    <w:rsid w:val="00EE42B2"/>
    <w:rsid w:val="00EE7153"/>
    <w:rsid w:val="00EF0BAA"/>
    <w:rsid w:val="00EF3DA7"/>
    <w:rsid w:val="00EF462F"/>
    <w:rsid w:val="00EF4C07"/>
    <w:rsid w:val="00EF4E13"/>
    <w:rsid w:val="00EF51DC"/>
    <w:rsid w:val="00EF5AA2"/>
    <w:rsid w:val="00EF5ACB"/>
    <w:rsid w:val="00EF613A"/>
    <w:rsid w:val="00EF6302"/>
    <w:rsid w:val="00EF6C47"/>
    <w:rsid w:val="00F00F8E"/>
    <w:rsid w:val="00F01670"/>
    <w:rsid w:val="00F02BF4"/>
    <w:rsid w:val="00F034C0"/>
    <w:rsid w:val="00F06651"/>
    <w:rsid w:val="00F11DF0"/>
    <w:rsid w:val="00F12CB3"/>
    <w:rsid w:val="00F13A8A"/>
    <w:rsid w:val="00F13AC1"/>
    <w:rsid w:val="00F17A2B"/>
    <w:rsid w:val="00F20422"/>
    <w:rsid w:val="00F208B1"/>
    <w:rsid w:val="00F20E6E"/>
    <w:rsid w:val="00F211BD"/>
    <w:rsid w:val="00F241FD"/>
    <w:rsid w:val="00F249BB"/>
    <w:rsid w:val="00F25960"/>
    <w:rsid w:val="00F25AEF"/>
    <w:rsid w:val="00F25B2F"/>
    <w:rsid w:val="00F2666D"/>
    <w:rsid w:val="00F27B96"/>
    <w:rsid w:val="00F31339"/>
    <w:rsid w:val="00F3293A"/>
    <w:rsid w:val="00F3467E"/>
    <w:rsid w:val="00F362D6"/>
    <w:rsid w:val="00F3721F"/>
    <w:rsid w:val="00F40259"/>
    <w:rsid w:val="00F41325"/>
    <w:rsid w:val="00F437A1"/>
    <w:rsid w:val="00F43C85"/>
    <w:rsid w:val="00F4570A"/>
    <w:rsid w:val="00F45840"/>
    <w:rsid w:val="00F46079"/>
    <w:rsid w:val="00F50D6D"/>
    <w:rsid w:val="00F5167C"/>
    <w:rsid w:val="00F52CAF"/>
    <w:rsid w:val="00F52FCB"/>
    <w:rsid w:val="00F53DB8"/>
    <w:rsid w:val="00F55412"/>
    <w:rsid w:val="00F559E7"/>
    <w:rsid w:val="00F56570"/>
    <w:rsid w:val="00F5788D"/>
    <w:rsid w:val="00F60612"/>
    <w:rsid w:val="00F60C25"/>
    <w:rsid w:val="00F643B9"/>
    <w:rsid w:val="00F64E76"/>
    <w:rsid w:val="00F65254"/>
    <w:rsid w:val="00F661F2"/>
    <w:rsid w:val="00F7051E"/>
    <w:rsid w:val="00F70968"/>
    <w:rsid w:val="00F720F1"/>
    <w:rsid w:val="00F72995"/>
    <w:rsid w:val="00F73004"/>
    <w:rsid w:val="00F74787"/>
    <w:rsid w:val="00F747DC"/>
    <w:rsid w:val="00F760B3"/>
    <w:rsid w:val="00F76403"/>
    <w:rsid w:val="00F77064"/>
    <w:rsid w:val="00F77ED4"/>
    <w:rsid w:val="00F77FEE"/>
    <w:rsid w:val="00F8063C"/>
    <w:rsid w:val="00F81527"/>
    <w:rsid w:val="00F81DD1"/>
    <w:rsid w:val="00F82F02"/>
    <w:rsid w:val="00F8617F"/>
    <w:rsid w:val="00F864E9"/>
    <w:rsid w:val="00F86DD2"/>
    <w:rsid w:val="00F9125C"/>
    <w:rsid w:val="00F91481"/>
    <w:rsid w:val="00F95BEF"/>
    <w:rsid w:val="00F9670A"/>
    <w:rsid w:val="00F96875"/>
    <w:rsid w:val="00F97697"/>
    <w:rsid w:val="00F97CA4"/>
    <w:rsid w:val="00F97EDB"/>
    <w:rsid w:val="00FA1462"/>
    <w:rsid w:val="00FA1591"/>
    <w:rsid w:val="00FA15D2"/>
    <w:rsid w:val="00FA3D85"/>
    <w:rsid w:val="00FA627B"/>
    <w:rsid w:val="00FA7327"/>
    <w:rsid w:val="00FA7511"/>
    <w:rsid w:val="00FB03BC"/>
    <w:rsid w:val="00FB60F4"/>
    <w:rsid w:val="00FB6527"/>
    <w:rsid w:val="00FB660F"/>
    <w:rsid w:val="00FC15F4"/>
    <w:rsid w:val="00FC1D35"/>
    <w:rsid w:val="00FC201D"/>
    <w:rsid w:val="00FC2263"/>
    <w:rsid w:val="00FC321E"/>
    <w:rsid w:val="00FC33E8"/>
    <w:rsid w:val="00FC62F4"/>
    <w:rsid w:val="00FC7A48"/>
    <w:rsid w:val="00FD0A32"/>
    <w:rsid w:val="00FD1690"/>
    <w:rsid w:val="00FD16DC"/>
    <w:rsid w:val="00FD245A"/>
    <w:rsid w:val="00FD3788"/>
    <w:rsid w:val="00FD3F1D"/>
    <w:rsid w:val="00FD408B"/>
    <w:rsid w:val="00FD487F"/>
    <w:rsid w:val="00FD7853"/>
    <w:rsid w:val="00FE17FC"/>
    <w:rsid w:val="00FE2A1A"/>
    <w:rsid w:val="00FE4C30"/>
    <w:rsid w:val="00FE6C3B"/>
    <w:rsid w:val="00FE736E"/>
    <w:rsid w:val="00FE7513"/>
    <w:rsid w:val="00FF13B2"/>
    <w:rsid w:val="00FF154F"/>
    <w:rsid w:val="00FF1757"/>
    <w:rsid w:val="00FF1B4C"/>
    <w:rsid w:val="00FF4840"/>
    <w:rsid w:val="00FF4ACA"/>
    <w:rsid w:val="00FF6668"/>
    <w:rsid w:val="00FF7768"/>
    <w:rsid w:val="00FF7BCD"/>
    <w:rsid w:val="027DA1A0"/>
    <w:rsid w:val="027DE33F"/>
    <w:rsid w:val="03480D8A"/>
    <w:rsid w:val="03D38DC1"/>
    <w:rsid w:val="04D15616"/>
    <w:rsid w:val="0579BFF1"/>
    <w:rsid w:val="07136543"/>
    <w:rsid w:val="07BED843"/>
    <w:rsid w:val="0F09A5E4"/>
    <w:rsid w:val="12CD530A"/>
    <w:rsid w:val="16AEEA67"/>
    <w:rsid w:val="17B0828E"/>
    <w:rsid w:val="183A3D9B"/>
    <w:rsid w:val="190AF474"/>
    <w:rsid w:val="1C7515BF"/>
    <w:rsid w:val="1C878B2A"/>
    <w:rsid w:val="1C8E3E1C"/>
    <w:rsid w:val="202F8BBA"/>
    <w:rsid w:val="20CC173C"/>
    <w:rsid w:val="21713F1B"/>
    <w:rsid w:val="24C9ACEE"/>
    <w:rsid w:val="276C1F80"/>
    <w:rsid w:val="2770B0EF"/>
    <w:rsid w:val="2787401B"/>
    <w:rsid w:val="283D39F4"/>
    <w:rsid w:val="28BE00C4"/>
    <w:rsid w:val="29A1468A"/>
    <w:rsid w:val="2C8F413C"/>
    <w:rsid w:val="33368A5E"/>
    <w:rsid w:val="354F1372"/>
    <w:rsid w:val="356DE70F"/>
    <w:rsid w:val="3666A135"/>
    <w:rsid w:val="367273A9"/>
    <w:rsid w:val="37355EC4"/>
    <w:rsid w:val="3795EE63"/>
    <w:rsid w:val="3850321A"/>
    <w:rsid w:val="3B059991"/>
    <w:rsid w:val="3B0D7A78"/>
    <w:rsid w:val="3C13B2D6"/>
    <w:rsid w:val="3C508862"/>
    <w:rsid w:val="3CA178C0"/>
    <w:rsid w:val="3CDD446B"/>
    <w:rsid w:val="3E2BF2DD"/>
    <w:rsid w:val="3EFBA0F8"/>
    <w:rsid w:val="4260B082"/>
    <w:rsid w:val="4354770F"/>
    <w:rsid w:val="4EEA30B4"/>
    <w:rsid w:val="4FC09B5E"/>
    <w:rsid w:val="4FFCEC4E"/>
    <w:rsid w:val="52E46807"/>
    <w:rsid w:val="53E12782"/>
    <w:rsid w:val="540178A4"/>
    <w:rsid w:val="541E1E08"/>
    <w:rsid w:val="5458FB56"/>
    <w:rsid w:val="55489C08"/>
    <w:rsid w:val="5744F332"/>
    <w:rsid w:val="5771486C"/>
    <w:rsid w:val="58A98AB7"/>
    <w:rsid w:val="58E0C393"/>
    <w:rsid w:val="5C81F5C9"/>
    <w:rsid w:val="5CD44C19"/>
    <w:rsid w:val="5D996E2A"/>
    <w:rsid w:val="5E701C7A"/>
    <w:rsid w:val="5E9D3D04"/>
    <w:rsid w:val="5EE0A05C"/>
    <w:rsid w:val="5EE82840"/>
    <w:rsid w:val="5F6E5F42"/>
    <w:rsid w:val="5FF01B62"/>
    <w:rsid w:val="630E92BB"/>
    <w:rsid w:val="63DF70D2"/>
    <w:rsid w:val="6447A6AC"/>
    <w:rsid w:val="664DEE32"/>
    <w:rsid w:val="6695D97E"/>
    <w:rsid w:val="67154A20"/>
    <w:rsid w:val="68B11A81"/>
    <w:rsid w:val="6AD3B29E"/>
    <w:rsid w:val="6CB9721C"/>
    <w:rsid w:val="6EA4F316"/>
    <w:rsid w:val="6F50E657"/>
    <w:rsid w:val="6FB3655E"/>
    <w:rsid w:val="70CDFEB5"/>
    <w:rsid w:val="70ECB6B8"/>
    <w:rsid w:val="72888719"/>
    <w:rsid w:val="74F96E0E"/>
    <w:rsid w:val="7933BE83"/>
    <w:rsid w:val="7B538875"/>
    <w:rsid w:val="7BEC0607"/>
    <w:rsid w:val="7F1E60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0F69"/>
  <w15:chartTrackingRefBased/>
  <w15:docId w15:val="{B49D6FFA-60CC-4ABE-A503-19613DA9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E40"/>
    <w:pPr>
      <w:spacing w:after="0" w:line="240" w:lineRule="auto"/>
    </w:pPr>
    <w:rPr>
      <w:rFonts w:ascii="Arial" w:hAnsi="Arial"/>
      <w:sz w:val="24"/>
    </w:rPr>
  </w:style>
  <w:style w:type="paragraph" w:styleId="Heading1">
    <w:name w:val="heading 1"/>
    <w:basedOn w:val="Normal"/>
    <w:next w:val="Normal"/>
    <w:link w:val="Heading1Char"/>
    <w:uiPriority w:val="9"/>
    <w:qFormat/>
    <w:rsid w:val="0064427E"/>
    <w:pPr>
      <w:keepNext/>
      <w:keepLines/>
      <w:tabs>
        <w:tab w:val="left" w:pos="907"/>
      </w:tab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4427E"/>
    <w:pPr>
      <w:keepNext/>
      <w:keepLines/>
      <w:tabs>
        <w:tab w:val="left" w:pos="907"/>
      </w:tabs>
      <w:ind w:right="1021"/>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E72DD"/>
    <w:pPr>
      <w:keepNext/>
      <w:keepLines/>
      <w:ind w:left="851"/>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27E"/>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64427E"/>
    <w:rPr>
      <w:rFonts w:ascii="Arial" w:eastAsiaTheme="majorEastAsia" w:hAnsi="Arial" w:cstheme="majorBidi"/>
      <w:b/>
      <w:sz w:val="24"/>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paragraph" w:styleId="TOCHeading">
    <w:name w:val="TOC Heading"/>
    <w:basedOn w:val="Heading1"/>
    <w:next w:val="Normal"/>
    <w:uiPriority w:val="39"/>
    <w:unhideWhenUsed/>
    <w:qFormat/>
    <w:rsid w:val="00DE2756"/>
    <w:pPr>
      <w:spacing w:line="259" w:lineRule="auto"/>
      <w:outlineLvl w:val="9"/>
    </w:pPr>
    <w:rPr>
      <w:rFonts w:asciiTheme="majorHAnsi" w:hAnsiTheme="majorHAnsi"/>
      <w:color w:val="2F5496" w:themeColor="accent1" w:themeShade="BF"/>
      <w:lang w:val="en-US"/>
    </w:rPr>
  </w:style>
  <w:style w:type="paragraph" w:styleId="TOC1">
    <w:name w:val="toc 1"/>
    <w:basedOn w:val="Normal"/>
    <w:next w:val="Normal"/>
    <w:autoRedefine/>
    <w:uiPriority w:val="39"/>
    <w:unhideWhenUsed/>
    <w:rsid w:val="009A6A11"/>
    <w:pPr>
      <w:spacing w:after="100"/>
    </w:pPr>
    <w:rPr>
      <w:b/>
    </w:rPr>
  </w:style>
  <w:style w:type="character" w:styleId="Hyperlink">
    <w:name w:val="Hyperlink"/>
    <w:basedOn w:val="DefaultParagraphFont"/>
    <w:uiPriority w:val="99"/>
    <w:unhideWhenUsed/>
    <w:rsid w:val="00060CDC"/>
    <w:rPr>
      <w:color w:val="0563C1" w:themeColor="hyperlink"/>
      <w:u w:val="none"/>
    </w:rPr>
  </w:style>
  <w:style w:type="paragraph" w:styleId="Header">
    <w:name w:val="header"/>
    <w:basedOn w:val="Normal"/>
    <w:link w:val="HeaderChar"/>
    <w:uiPriority w:val="99"/>
    <w:unhideWhenUsed/>
    <w:rsid w:val="0048411F"/>
    <w:pPr>
      <w:tabs>
        <w:tab w:val="center" w:pos="4513"/>
        <w:tab w:val="right" w:pos="9026"/>
      </w:tabs>
    </w:pPr>
  </w:style>
  <w:style w:type="character" w:customStyle="1" w:styleId="HeaderChar">
    <w:name w:val="Header Char"/>
    <w:basedOn w:val="DefaultParagraphFont"/>
    <w:link w:val="Header"/>
    <w:uiPriority w:val="99"/>
    <w:rsid w:val="0048411F"/>
    <w:rPr>
      <w:rFonts w:ascii="Arial" w:hAnsi="Arial"/>
      <w:sz w:val="24"/>
    </w:rPr>
  </w:style>
  <w:style w:type="paragraph" w:styleId="Footer">
    <w:name w:val="footer"/>
    <w:basedOn w:val="Normal"/>
    <w:link w:val="FooterChar"/>
    <w:uiPriority w:val="99"/>
    <w:unhideWhenUsed/>
    <w:rsid w:val="0048411F"/>
    <w:pPr>
      <w:tabs>
        <w:tab w:val="center" w:pos="4513"/>
        <w:tab w:val="right" w:pos="9026"/>
      </w:tabs>
    </w:pPr>
  </w:style>
  <w:style w:type="character" w:customStyle="1" w:styleId="FooterChar">
    <w:name w:val="Footer Char"/>
    <w:basedOn w:val="DefaultParagraphFont"/>
    <w:link w:val="Footer"/>
    <w:uiPriority w:val="99"/>
    <w:rsid w:val="0048411F"/>
    <w:rPr>
      <w:rFonts w:ascii="Arial" w:hAnsi="Arial"/>
      <w:sz w:val="24"/>
    </w:rPr>
  </w:style>
  <w:style w:type="paragraph" w:styleId="BodyText2">
    <w:name w:val="Body Text 2"/>
    <w:basedOn w:val="Normal"/>
    <w:link w:val="BodyText2Char"/>
    <w:semiHidden/>
    <w:unhideWhenUsed/>
    <w:rsid w:val="00BE3EFC"/>
    <w:pPr>
      <w:spacing w:after="120" w:line="480" w:lineRule="auto"/>
    </w:pPr>
    <w:rPr>
      <w:rFonts w:ascii="Calibri" w:eastAsia="Times New Roman" w:hAnsi="Calibri" w:cs="Times New Roman"/>
      <w:szCs w:val="24"/>
    </w:rPr>
  </w:style>
  <w:style w:type="character" w:customStyle="1" w:styleId="BodyText2Char">
    <w:name w:val="Body Text 2 Char"/>
    <w:basedOn w:val="DefaultParagraphFont"/>
    <w:link w:val="BodyText2"/>
    <w:semiHidden/>
    <w:rsid w:val="00BE3EFC"/>
    <w:rPr>
      <w:rFonts w:ascii="Calibri" w:eastAsia="Times New Roman" w:hAnsi="Calibri" w:cs="Times New Roman"/>
      <w:sz w:val="24"/>
      <w:szCs w:val="24"/>
    </w:rPr>
  </w:style>
  <w:style w:type="paragraph" w:customStyle="1" w:styleId="CLQEParagraph">
    <w:name w:val="CLQE Paragraph"/>
    <w:basedOn w:val="Normal"/>
    <w:rsid w:val="00BE3EFC"/>
    <w:pPr>
      <w:ind w:left="720"/>
    </w:pPr>
    <w:rPr>
      <w:rFonts w:eastAsia="Times New Roman" w:cs="Times New Roman"/>
      <w:sz w:val="22"/>
    </w:rPr>
  </w:style>
  <w:style w:type="character" w:styleId="CommentReference">
    <w:name w:val="annotation reference"/>
    <w:basedOn w:val="DefaultParagraphFont"/>
    <w:uiPriority w:val="99"/>
    <w:semiHidden/>
    <w:unhideWhenUsed/>
    <w:rsid w:val="0048390A"/>
    <w:rPr>
      <w:sz w:val="16"/>
      <w:szCs w:val="16"/>
    </w:rPr>
  </w:style>
  <w:style w:type="paragraph" w:styleId="CommentText">
    <w:name w:val="annotation text"/>
    <w:basedOn w:val="Normal"/>
    <w:link w:val="CommentTextChar"/>
    <w:uiPriority w:val="99"/>
    <w:semiHidden/>
    <w:unhideWhenUsed/>
    <w:rsid w:val="0048390A"/>
    <w:rPr>
      <w:sz w:val="20"/>
      <w:szCs w:val="20"/>
    </w:rPr>
  </w:style>
  <w:style w:type="character" w:customStyle="1" w:styleId="CommentTextChar">
    <w:name w:val="Comment Text Char"/>
    <w:basedOn w:val="DefaultParagraphFont"/>
    <w:link w:val="CommentText"/>
    <w:uiPriority w:val="99"/>
    <w:semiHidden/>
    <w:rsid w:val="0048390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390A"/>
    <w:rPr>
      <w:b/>
      <w:bCs/>
    </w:rPr>
  </w:style>
  <w:style w:type="character" w:customStyle="1" w:styleId="CommentSubjectChar">
    <w:name w:val="Comment Subject Char"/>
    <w:basedOn w:val="CommentTextChar"/>
    <w:link w:val="CommentSubject"/>
    <w:uiPriority w:val="99"/>
    <w:semiHidden/>
    <w:rsid w:val="0048390A"/>
    <w:rPr>
      <w:rFonts w:ascii="Arial" w:hAnsi="Arial"/>
      <w:b/>
      <w:bCs/>
      <w:sz w:val="20"/>
      <w:szCs w:val="20"/>
    </w:rPr>
  </w:style>
  <w:style w:type="character" w:styleId="UnresolvedMention">
    <w:name w:val="Unresolved Mention"/>
    <w:basedOn w:val="DefaultParagraphFont"/>
    <w:uiPriority w:val="99"/>
    <w:semiHidden/>
    <w:unhideWhenUsed/>
    <w:rsid w:val="00745D90"/>
    <w:rPr>
      <w:color w:val="605E5C"/>
      <w:shd w:val="clear" w:color="auto" w:fill="E1DFDD"/>
    </w:rPr>
  </w:style>
  <w:style w:type="paragraph" w:styleId="TOC2">
    <w:name w:val="toc 2"/>
    <w:basedOn w:val="Normal"/>
    <w:next w:val="Normal"/>
    <w:autoRedefine/>
    <w:uiPriority w:val="39"/>
    <w:unhideWhenUsed/>
    <w:rsid w:val="00017933"/>
    <w:pPr>
      <w:tabs>
        <w:tab w:val="left" w:pos="1276"/>
        <w:tab w:val="right" w:leader="dot" w:pos="9016"/>
      </w:tabs>
      <w:spacing w:after="100"/>
      <w:ind w:left="567"/>
    </w:pPr>
  </w:style>
  <w:style w:type="paragraph" w:styleId="TOC3">
    <w:name w:val="toc 3"/>
    <w:basedOn w:val="Normal"/>
    <w:next w:val="Normal"/>
    <w:autoRedefine/>
    <w:uiPriority w:val="39"/>
    <w:unhideWhenUsed/>
    <w:rsid w:val="00283B0A"/>
    <w:pPr>
      <w:spacing w:after="100" w:line="259" w:lineRule="auto"/>
      <w:ind w:left="680"/>
    </w:pPr>
    <w:rPr>
      <w:rFonts w:eastAsiaTheme="minorEastAsia" w:cs="Times New Roman"/>
      <w:lang w:val="en-US"/>
    </w:rPr>
  </w:style>
  <w:style w:type="paragraph" w:customStyle="1" w:styleId="CLQEBullets">
    <w:name w:val="CLQE Bullets"/>
    <w:basedOn w:val="Normal"/>
    <w:rsid w:val="00880C5E"/>
    <w:pPr>
      <w:numPr>
        <w:numId w:val="10"/>
      </w:numPr>
    </w:pPr>
    <w:rPr>
      <w:rFonts w:eastAsia="Times New Roman" w:cs="Times New Roman"/>
      <w:sz w:val="22"/>
    </w:rPr>
  </w:style>
  <w:style w:type="paragraph" w:styleId="FootnoteText">
    <w:name w:val="footnote text"/>
    <w:basedOn w:val="Normal"/>
    <w:link w:val="FootnoteTextChar"/>
    <w:semiHidden/>
    <w:rsid w:val="00623162"/>
    <w:rPr>
      <w:rFonts w:eastAsia="Times New Roman" w:cs="Times New Roman"/>
      <w:sz w:val="20"/>
      <w:szCs w:val="20"/>
    </w:rPr>
  </w:style>
  <w:style w:type="character" w:customStyle="1" w:styleId="FootnoteTextChar">
    <w:name w:val="Footnote Text Char"/>
    <w:basedOn w:val="DefaultParagraphFont"/>
    <w:link w:val="FootnoteText"/>
    <w:semiHidden/>
    <w:rsid w:val="00623162"/>
    <w:rPr>
      <w:rFonts w:ascii="Arial" w:eastAsia="Times New Roman" w:hAnsi="Arial" w:cs="Times New Roman"/>
      <w:sz w:val="20"/>
      <w:szCs w:val="20"/>
    </w:rPr>
  </w:style>
  <w:style w:type="character" w:styleId="FootnoteReference">
    <w:name w:val="footnote reference"/>
    <w:semiHidden/>
    <w:rsid w:val="00623162"/>
    <w:rPr>
      <w:vertAlign w:val="superscript"/>
    </w:rPr>
  </w:style>
  <w:style w:type="character" w:customStyle="1" w:styleId="normaltextrun">
    <w:name w:val="normaltextrun"/>
    <w:rsid w:val="00DA3A3D"/>
  </w:style>
  <w:style w:type="character" w:styleId="FollowedHyperlink">
    <w:name w:val="FollowedHyperlink"/>
    <w:basedOn w:val="DefaultParagraphFont"/>
    <w:uiPriority w:val="99"/>
    <w:semiHidden/>
    <w:unhideWhenUsed/>
    <w:rsid w:val="000F1240"/>
    <w:rPr>
      <w:color w:val="954F72" w:themeColor="followedHyperlink"/>
      <w:u w:val="single"/>
    </w:rPr>
  </w:style>
  <w:style w:type="paragraph" w:styleId="NormalWeb">
    <w:name w:val="Normal (Web)"/>
    <w:basedOn w:val="Normal"/>
    <w:uiPriority w:val="99"/>
    <w:unhideWhenUsed/>
    <w:rsid w:val="00F2666D"/>
    <w:pPr>
      <w:spacing w:before="100" w:beforeAutospacing="1" w:after="100" w:afterAutospacing="1"/>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1E72DD"/>
    <w:rPr>
      <w:rFonts w:ascii="Arial" w:eastAsiaTheme="majorEastAsia" w:hAnsi="Arial" w:cstheme="majorBidi"/>
      <w:b/>
      <w:sz w:val="24"/>
      <w:szCs w:val="24"/>
    </w:rPr>
  </w:style>
  <w:style w:type="paragraph" w:styleId="Revision">
    <w:name w:val="Revision"/>
    <w:hidden/>
    <w:uiPriority w:val="99"/>
    <w:semiHidden/>
    <w:rsid w:val="00D9296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23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nnect.tees.ac.uk/external-examiners" TargetMode="External"/><Relationship Id="rId26" Type="http://schemas.openxmlformats.org/officeDocument/2006/relationships/hyperlink" Target="https://www.instituteforapprenticeships.org/media/5505/eqa-framework-august-2020-a.pdf" TargetMode="External"/><Relationship Id="rId3" Type="http://schemas.openxmlformats.org/officeDocument/2006/relationships/customXml" Target="../customXml/item3.xml"/><Relationship Id="rId21" Type="http://schemas.openxmlformats.org/officeDocument/2006/relationships/hyperlink" Target="https://www.tees.ac.uk/docs/index.cfm?folder=Student%20regulations&amp;name=Academic%20Regulations&amp;folder_id=44"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qaa.ac.uk/quality-code/advice-and-guidance/external-expertise" TargetMode="External"/><Relationship Id="rId25" Type="http://schemas.openxmlformats.org/officeDocument/2006/relationships/hyperlink" Target="https://www.qaa.ac.uk/quality-code/subject-benchmark-statements" TargetMode="External"/><Relationship Id="rId2" Type="http://schemas.openxmlformats.org/officeDocument/2006/relationships/customXml" Target="../customXml/item2.xml"/><Relationship Id="rId16" Type="http://schemas.openxmlformats.org/officeDocument/2006/relationships/hyperlink" Target="https://www.qaa.ac.uk/quality-code" TargetMode="External"/><Relationship Id="rId20" Type="http://schemas.openxmlformats.org/officeDocument/2006/relationships/hyperlink" Target="https://www.tees.ac.uk/docs/index.cfm?folder=Student%20regulations&amp;name=Academic%20Regulations&amp;folder_id=4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aa.ac.uk/quality-code/characteristics-statements" TargetMode="External"/><Relationship Id="rId5" Type="http://schemas.openxmlformats.org/officeDocument/2006/relationships/numbering" Target="numbering.xml"/><Relationship Id="rId15" Type="http://schemas.openxmlformats.org/officeDocument/2006/relationships/hyperlink" Target="https://www.officeforstudents.org.uk/publications/securing-student-success-regulatory-framework-for-higher-education-in-england/" TargetMode="External"/><Relationship Id="rId23" Type="http://schemas.openxmlformats.org/officeDocument/2006/relationships/hyperlink" Target="https://www.qaa.ac.uk/quality-code/qualifications-framework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nnect.tees.ac.uk/external-examiners/external-examiners/mento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connect.tees.ac.uk/external-examiners/handbooks-framework/external-examiner-handboo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DA289D886ADA4D95E50F88FD77E240" ma:contentTypeVersion="10" ma:contentTypeDescription="Create a new document." ma:contentTypeScope="" ma:versionID="a8b20fd9060f619d12e8844aab9b3ed7">
  <xsd:schema xmlns:xsd="http://www.w3.org/2001/XMLSchema" xmlns:xs="http://www.w3.org/2001/XMLSchema" xmlns:p="http://schemas.microsoft.com/office/2006/metadata/properties" xmlns:ns2="69bc608d-09c4-4459-ba1f-6952fa72e312" xmlns:ns3="dfbd68d4-e7d9-4e25-9781-bedc3bea3093" targetNamespace="http://schemas.microsoft.com/office/2006/metadata/properties" ma:root="true" ma:fieldsID="03de1336d83d196a17e63f7bdba175b0" ns2:_="" ns3:_="">
    <xsd:import namespace="69bc608d-09c4-4459-ba1f-6952fa72e312"/>
    <xsd:import namespace="dfbd68d4-e7d9-4e25-9781-bedc3bea30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c608d-09c4-4459-ba1f-6952fa72e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bd68d4-e7d9-4e25-9781-bedc3bea30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EA808-521A-408E-B430-8D88DFAF2C33}">
  <ds:schemaRefs>
    <ds:schemaRef ds:uri="http://schemas.openxmlformats.org/officeDocument/2006/bibliography"/>
  </ds:schemaRefs>
</ds:datastoreItem>
</file>

<file path=customXml/itemProps2.xml><?xml version="1.0" encoding="utf-8"?>
<ds:datastoreItem xmlns:ds="http://schemas.openxmlformats.org/officeDocument/2006/customXml" ds:itemID="{F7601EFE-3585-4F0D-8753-70A56D573C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882BCD-AE34-44BC-80EA-1E42B2D60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c608d-09c4-4459-ba1f-6952fa72e312"/>
    <ds:schemaRef ds:uri="dfbd68d4-e7d9-4e25-9781-bedc3bea3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B47BD-040F-4BE2-841F-3D5D1ED95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13</Pages>
  <Words>4374</Words>
  <Characters>24937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29253</CharactersWithSpaces>
  <SharedDoc>false</SharedDoc>
  <HLinks>
    <vt:vector size="270" baseType="variant">
      <vt:variant>
        <vt:i4>1835030</vt:i4>
      </vt:variant>
      <vt:variant>
        <vt:i4>195</vt:i4>
      </vt:variant>
      <vt:variant>
        <vt:i4>0</vt:i4>
      </vt:variant>
      <vt:variant>
        <vt:i4>5</vt:i4>
      </vt:variant>
      <vt:variant>
        <vt:lpwstr>https://e-vision.tees.ac.uk/si_prod/sits.urd/run/siw_lgn</vt:lpwstr>
      </vt:variant>
      <vt:variant>
        <vt:lpwstr/>
      </vt:variant>
      <vt:variant>
        <vt:i4>2293876</vt:i4>
      </vt:variant>
      <vt:variant>
        <vt:i4>192</vt:i4>
      </vt:variant>
      <vt:variant>
        <vt:i4>0</vt:i4>
      </vt:variant>
      <vt:variant>
        <vt:i4>5</vt:i4>
      </vt:variant>
      <vt:variant>
        <vt:lpwstr>https://www.instituteforapprenticeships.org/media/5505/eqa-framework-august-2020-a.pdf</vt:lpwstr>
      </vt:variant>
      <vt:variant>
        <vt:lpwstr/>
      </vt:variant>
      <vt:variant>
        <vt:i4>8126522</vt:i4>
      </vt:variant>
      <vt:variant>
        <vt:i4>189</vt:i4>
      </vt:variant>
      <vt:variant>
        <vt:i4>0</vt:i4>
      </vt:variant>
      <vt:variant>
        <vt:i4>5</vt:i4>
      </vt:variant>
      <vt:variant>
        <vt:lpwstr>https://www.qaa.ac.uk/quality-code/subject-benchmark-statements</vt:lpwstr>
      </vt:variant>
      <vt:variant>
        <vt:lpwstr/>
      </vt:variant>
      <vt:variant>
        <vt:i4>1966096</vt:i4>
      </vt:variant>
      <vt:variant>
        <vt:i4>186</vt:i4>
      </vt:variant>
      <vt:variant>
        <vt:i4>0</vt:i4>
      </vt:variant>
      <vt:variant>
        <vt:i4>5</vt:i4>
      </vt:variant>
      <vt:variant>
        <vt:lpwstr>https://www.qaa.ac.uk/quality-code/characteristics-statements</vt:lpwstr>
      </vt:variant>
      <vt:variant>
        <vt:lpwstr/>
      </vt:variant>
      <vt:variant>
        <vt:i4>4587598</vt:i4>
      </vt:variant>
      <vt:variant>
        <vt:i4>183</vt:i4>
      </vt:variant>
      <vt:variant>
        <vt:i4>0</vt:i4>
      </vt:variant>
      <vt:variant>
        <vt:i4>5</vt:i4>
      </vt:variant>
      <vt:variant>
        <vt:lpwstr>https://www.qaa.ac.uk/quality-code/qualifications-frameworks</vt:lpwstr>
      </vt:variant>
      <vt:variant>
        <vt:lpwstr/>
      </vt:variant>
      <vt:variant>
        <vt:i4>262152</vt:i4>
      </vt:variant>
      <vt:variant>
        <vt:i4>180</vt:i4>
      </vt:variant>
      <vt:variant>
        <vt:i4>0</vt:i4>
      </vt:variant>
      <vt:variant>
        <vt:i4>5</vt:i4>
      </vt:variant>
      <vt:variant>
        <vt:lpwstr>https://extra.tees.ac.uk/external-examiners/Documents/EE Handbook 2021 FINAL.docx?d=wc2cee364673c4a47aed338ab3e43dcb0</vt:lpwstr>
      </vt:variant>
      <vt:variant>
        <vt:lpwstr/>
      </vt:variant>
      <vt:variant>
        <vt:i4>1507368</vt:i4>
      </vt:variant>
      <vt:variant>
        <vt:i4>177</vt:i4>
      </vt:variant>
      <vt:variant>
        <vt:i4>0</vt:i4>
      </vt:variant>
      <vt:variant>
        <vt:i4>5</vt:i4>
      </vt:variant>
      <vt:variant>
        <vt:lpwstr>https://www.tees.ac.uk/docs/index.cfm?folder=Student%20regulations&amp;name=Academic%20Regulations&amp;folder_id=44</vt:lpwstr>
      </vt:variant>
      <vt:variant>
        <vt:lpwstr/>
      </vt:variant>
      <vt:variant>
        <vt:i4>1507368</vt:i4>
      </vt:variant>
      <vt:variant>
        <vt:i4>174</vt:i4>
      </vt:variant>
      <vt:variant>
        <vt:i4>0</vt:i4>
      </vt:variant>
      <vt:variant>
        <vt:i4>5</vt:i4>
      </vt:variant>
      <vt:variant>
        <vt:lpwstr>https://www.tees.ac.uk/docs/index.cfm?folder=Student%20regulations&amp;name=Academic%20Regulations&amp;folder_id=44</vt:lpwstr>
      </vt:variant>
      <vt:variant>
        <vt:lpwstr/>
      </vt:variant>
      <vt:variant>
        <vt:i4>6291555</vt:i4>
      </vt:variant>
      <vt:variant>
        <vt:i4>171</vt:i4>
      </vt:variant>
      <vt:variant>
        <vt:i4>0</vt:i4>
      </vt:variant>
      <vt:variant>
        <vt:i4>5</vt:i4>
      </vt:variant>
      <vt:variant>
        <vt:lpwstr>https://extra.tees.ac.uk/external-examiners/Pages/Professional-Doctorates.aspx</vt:lpwstr>
      </vt:variant>
      <vt:variant>
        <vt:lpwstr/>
      </vt:variant>
      <vt:variant>
        <vt:i4>6815780</vt:i4>
      </vt:variant>
      <vt:variant>
        <vt:i4>168</vt:i4>
      </vt:variant>
      <vt:variant>
        <vt:i4>0</vt:i4>
      </vt:variant>
      <vt:variant>
        <vt:i4>5</vt:i4>
      </vt:variant>
      <vt:variant>
        <vt:lpwstr>https://extra.tees.ac.uk/external-examiners/Pages/default.aspx</vt:lpwstr>
      </vt:variant>
      <vt:variant>
        <vt:lpwstr/>
      </vt:variant>
      <vt:variant>
        <vt:i4>4259843</vt:i4>
      </vt:variant>
      <vt:variant>
        <vt:i4>165</vt:i4>
      </vt:variant>
      <vt:variant>
        <vt:i4>0</vt:i4>
      </vt:variant>
      <vt:variant>
        <vt:i4>5</vt:i4>
      </vt:variant>
      <vt:variant>
        <vt:lpwstr>https://www.qaa.ac.uk/quality-code/advice-and-guidance/external-expertise</vt:lpwstr>
      </vt:variant>
      <vt:variant>
        <vt:lpwstr/>
      </vt:variant>
      <vt:variant>
        <vt:i4>7602291</vt:i4>
      </vt:variant>
      <vt:variant>
        <vt:i4>162</vt:i4>
      </vt:variant>
      <vt:variant>
        <vt:i4>0</vt:i4>
      </vt:variant>
      <vt:variant>
        <vt:i4>5</vt:i4>
      </vt:variant>
      <vt:variant>
        <vt:lpwstr>https://www.qaa.ac.uk/quality-code</vt:lpwstr>
      </vt:variant>
      <vt:variant>
        <vt:lpwstr/>
      </vt:variant>
      <vt:variant>
        <vt:i4>5963843</vt:i4>
      </vt:variant>
      <vt:variant>
        <vt:i4>159</vt:i4>
      </vt:variant>
      <vt:variant>
        <vt:i4>0</vt:i4>
      </vt:variant>
      <vt:variant>
        <vt:i4>5</vt:i4>
      </vt:variant>
      <vt:variant>
        <vt:lpwstr>https://www.officeforstudents.org.uk/publications/securing-student-success-regulatory-framework-for-higher-education-in-england/</vt:lpwstr>
      </vt:variant>
      <vt:variant>
        <vt:lpwstr/>
      </vt:variant>
      <vt:variant>
        <vt:i4>1507368</vt:i4>
      </vt:variant>
      <vt:variant>
        <vt:i4>156</vt:i4>
      </vt:variant>
      <vt:variant>
        <vt:i4>0</vt:i4>
      </vt:variant>
      <vt:variant>
        <vt:i4>5</vt:i4>
      </vt:variant>
      <vt:variant>
        <vt:lpwstr>https://www.tees.ac.uk/docs/index.cfm?folder=Student%20regulations&amp;name=Academic%20Regulations&amp;folder_id=44</vt:lpwstr>
      </vt:variant>
      <vt:variant>
        <vt:lpwstr/>
      </vt:variant>
      <vt:variant>
        <vt:i4>7536685</vt:i4>
      </vt:variant>
      <vt:variant>
        <vt:i4>153</vt:i4>
      </vt:variant>
      <vt:variant>
        <vt:i4>0</vt:i4>
      </vt:variant>
      <vt:variant>
        <vt:i4>5</vt:i4>
      </vt:variant>
      <vt:variant>
        <vt:lpwstr>https://www.tees.ac.uk/sections/about/public_information/quality_framework.cfm</vt:lpwstr>
      </vt:variant>
      <vt:variant>
        <vt:lpwstr/>
      </vt:variant>
      <vt:variant>
        <vt:i4>1638428</vt:i4>
      </vt:variant>
      <vt:variant>
        <vt:i4>150</vt:i4>
      </vt:variant>
      <vt:variant>
        <vt:i4>0</vt:i4>
      </vt:variant>
      <vt:variant>
        <vt:i4>5</vt:i4>
      </vt:variant>
      <vt:variant>
        <vt:lpwstr>https://extra.tees.ac.uk/sites/publicdocuments/Legal and Governance Services/Recognition of Prior Learning Policy.pdf</vt:lpwstr>
      </vt:variant>
      <vt:variant>
        <vt:lpwstr/>
      </vt:variant>
      <vt:variant>
        <vt:i4>1507368</vt:i4>
      </vt:variant>
      <vt:variant>
        <vt:i4>147</vt:i4>
      </vt:variant>
      <vt:variant>
        <vt:i4>0</vt:i4>
      </vt:variant>
      <vt:variant>
        <vt:i4>5</vt:i4>
      </vt:variant>
      <vt:variant>
        <vt:lpwstr>https://www.tees.ac.uk/docs/index.cfm?folder=Student%20regulations&amp;name=Academic%20Regulations&amp;folder_id=44</vt:lpwstr>
      </vt:variant>
      <vt:variant>
        <vt:lpwstr/>
      </vt:variant>
      <vt:variant>
        <vt:i4>1507368</vt:i4>
      </vt:variant>
      <vt:variant>
        <vt:i4>144</vt:i4>
      </vt:variant>
      <vt:variant>
        <vt:i4>0</vt:i4>
      </vt:variant>
      <vt:variant>
        <vt:i4>5</vt:i4>
      </vt:variant>
      <vt:variant>
        <vt:lpwstr>https://www.tees.ac.uk/docs/index.cfm?folder=Student%20regulations&amp;name=Academic%20Regulations&amp;folder_id=44</vt:lpwstr>
      </vt:variant>
      <vt:variant>
        <vt:lpwstr/>
      </vt:variant>
      <vt:variant>
        <vt:i4>7143472</vt:i4>
      </vt:variant>
      <vt:variant>
        <vt:i4>141</vt:i4>
      </vt:variant>
      <vt:variant>
        <vt:i4>0</vt:i4>
      </vt:variant>
      <vt:variant>
        <vt:i4>5</vt:i4>
      </vt:variant>
      <vt:variant>
        <vt:lpwstr>https://extra.tees.ac.uk/sites/publicdocuments/Legal and Governance Services/Assessment and Feedback Policy.pdf</vt:lpwstr>
      </vt:variant>
      <vt:variant>
        <vt:lpwstr/>
      </vt:variant>
      <vt:variant>
        <vt:i4>6946886</vt:i4>
      </vt:variant>
      <vt:variant>
        <vt:i4>138</vt:i4>
      </vt:variant>
      <vt:variant>
        <vt:i4>0</vt:i4>
      </vt:variant>
      <vt:variant>
        <vt:i4>5</vt:i4>
      </vt:variant>
      <vt:variant>
        <vt:lpwstr>https://www.tees.ac.uk/docs/index.cfm?folder=Student%20regulations&amp;name=Assessment%20Regulations&amp;folder_id=46</vt:lpwstr>
      </vt:variant>
      <vt:variant>
        <vt:lpwstr/>
      </vt:variant>
      <vt:variant>
        <vt:i4>7012403</vt:i4>
      </vt:variant>
      <vt:variant>
        <vt:i4>135</vt:i4>
      </vt:variant>
      <vt:variant>
        <vt:i4>0</vt:i4>
      </vt:variant>
      <vt:variant>
        <vt:i4>5</vt:i4>
      </vt:variant>
      <vt:variant>
        <vt:lpwstr>https://extra.tees.ac.uk/external-examiners/Documents/AIWEE Handbook Nov 2020.docx?d=wd3afac4763a84bdab50bdd0c771454f0</vt:lpwstr>
      </vt:variant>
      <vt:variant>
        <vt:lpwstr/>
      </vt:variant>
      <vt:variant>
        <vt:i4>1769525</vt:i4>
      </vt:variant>
      <vt:variant>
        <vt:i4>128</vt:i4>
      </vt:variant>
      <vt:variant>
        <vt:i4>0</vt:i4>
      </vt:variant>
      <vt:variant>
        <vt:i4>5</vt:i4>
      </vt:variant>
      <vt:variant>
        <vt:lpwstr/>
      </vt:variant>
      <vt:variant>
        <vt:lpwstr>_Toc103074087</vt:lpwstr>
      </vt:variant>
      <vt:variant>
        <vt:i4>1769525</vt:i4>
      </vt:variant>
      <vt:variant>
        <vt:i4>122</vt:i4>
      </vt:variant>
      <vt:variant>
        <vt:i4>0</vt:i4>
      </vt:variant>
      <vt:variant>
        <vt:i4>5</vt:i4>
      </vt:variant>
      <vt:variant>
        <vt:lpwstr/>
      </vt:variant>
      <vt:variant>
        <vt:lpwstr>_Toc103074086</vt:lpwstr>
      </vt:variant>
      <vt:variant>
        <vt:i4>1769525</vt:i4>
      </vt:variant>
      <vt:variant>
        <vt:i4>116</vt:i4>
      </vt:variant>
      <vt:variant>
        <vt:i4>0</vt:i4>
      </vt:variant>
      <vt:variant>
        <vt:i4>5</vt:i4>
      </vt:variant>
      <vt:variant>
        <vt:lpwstr/>
      </vt:variant>
      <vt:variant>
        <vt:lpwstr>_Toc103074085</vt:lpwstr>
      </vt:variant>
      <vt:variant>
        <vt:i4>1769525</vt:i4>
      </vt:variant>
      <vt:variant>
        <vt:i4>110</vt:i4>
      </vt:variant>
      <vt:variant>
        <vt:i4>0</vt:i4>
      </vt:variant>
      <vt:variant>
        <vt:i4>5</vt:i4>
      </vt:variant>
      <vt:variant>
        <vt:lpwstr/>
      </vt:variant>
      <vt:variant>
        <vt:lpwstr>_Toc103074084</vt:lpwstr>
      </vt:variant>
      <vt:variant>
        <vt:i4>1769525</vt:i4>
      </vt:variant>
      <vt:variant>
        <vt:i4>104</vt:i4>
      </vt:variant>
      <vt:variant>
        <vt:i4>0</vt:i4>
      </vt:variant>
      <vt:variant>
        <vt:i4>5</vt:i4>
      </vt:variant>
      <vt:variant>
        <vt:lpwstr/>
      </vt:variant>
      <vt:variant>
        <vt:lpwstr>_Toc103074083</vt:lpwstr>
      </vt:variant>
      <vt:variant>
        <vt:i4>1769525</vt:i4>
      </vt:variant>
      <vt:variant>
        <vt:i4>98</vt:i4>
      </vt:variant>
      <vt:variant>
        <vt:i4>0</vt:i4>
      </vt:variant>
      <vt:variant>
        <vt:i4>5</vt:i4>
      </vt:variant>
      <vt:variant>
        <vt:lpwstr/>
      </vt:variant>
      <vt:variant>
        <vt:lpwstr>_Toc103074082</vt:lpwstr>
      </vt:variant>
      <vt:variant>
        <vt:i4>1769525</vt:i4>
      </vt:variant>
      <vt:variant>
        <vt:i4>92</vt:i4>
      </vt:variant>
      <vt:variant>
        <vt:i4>0</vt:i4>
      </vt:variant>
      <vt:variant>
        <vt:i4>5</vt:i4>
      </vt:variant>
      <vt:variant>
        <vt:lpwstr/>
      </vt:variant>
      <vt:variant>
        <vt:lpwstr>_Toc103074081</vt:lpwstr>
      </vt:variant>
      <vt:variant>
        <vt:i4>1769525</vt:i4>
      </vt:variant>
      <vt:variant>
        <vt:i4>86</vt:i4>
      </vt:variant>
      <vt:variant>
        <vt:i4>0</vt:i4>
      </vt:variant>
      <vt:variant>
        <vt:i4>5</vt:i4>
      </vt:variant>
      <vt:variant>
        <vt:lpwstr/>
      </vt:variant>
      <vt:variant>
        <vt:lpwstr>_Toc103074080</vt:lpwstr>
      </vt:variant>
      <vt:variant>
        <vt:i4>1310773</vt:i4>
      </vt:variant>
      <vt:variant>
        <vt:i4>80</vt:i4>
      </vt:variant>
      <vt:variant>
        <vt:i4>0</vt:i4>
      </vt:variant>
      <vt:variant>
        <vt:i4>5</vt:i4>
      </vt:variant>
      <vt:variant>
        <vt:lpwstr/>
      </vt:variant>
      <vt:variant>
        <vt:lpwstr>_Toc103074079</vt:lpwstr>
      </vt:variant>
      <vt:variant>
        <vt:i4>1310773</vt:i4>
      </vt:variant>
      <vt:variant>
        <vt:i4>74</vt:i4>
      </vt:variant>
      <vt:variant>
        <vt:i4>0</vt:i4>
      </vt:variant>
      <vt:variant>
        <vt:i4>5</vt:i4>
      </vt:variant>
      <vt:variant>
        <vt:lpwstr/>
      </vt:variant>
      <vt:variant>
        <vt:lpwstr>_Toc103074078</vt:lpwstr>
      </vt:variant>
      <vt:variant>
        <vt:i4>1310773</vt:i4>
      </vt:variant>
      <vt:variant>
        <vt:i4>68</vt:i4>
      </vt:variant>
      <vt:variant>
        <vt:i4>0</vt:i4>
      </vt:variant>
      <vt:variant>
        <vt:i4>5</vt:i4>
      </vt:variant>
      <vt:variant>
        <vt:lpwstr/>
      </vt:variant>
      <vt:variant>
        <vt:lpwstr>_Toc103074077</vt:lpwstr>
      </vt:variant>
      <vt:variant>
        <vt:i4>1310773</vt:i4>
      </vt:variant>
      <vt:variant>
        <vt:i4>62</vt:i4>
      </vt:variant>
      <vt:variant>
        <vt:i4>0</vt:i4>
      </vt:variant>
      <vt:variant>
        <vt:i4>5</vt:i4>
      </vt:variant>
      <vt:variant>
        <vt:lpwstr/>
      </vt:variant>
      <vt:variant>
        <vt:lpwstr>_Toc103074076</vt:lpwstr>
      </vt:variant>
      <vt:variant>
        <vt:i4>1310773</vt:i4>
      </vt:variant>
      <vt:variant>
        <vt:i4>56</vt:i4>
      </vt:variant>
      <vt:variant>
        <vt:i4>0</vt:i4>
      </vt:variant>
      <vt:variant>
        <vt:i4>5</vt:i4>
      </vt:variant>
      <vt:variant>
        <vt:lpwstr/>
      </vt:variant>
      <vt:variant>
        <vt:lpwstr>_Toc103074075</vt:lpwstr>
      </vt:variant>
      <vt:variant>
        <vt:i4>1310773</vt:i4>
      </vt:variant>
      <vt:variant>
        <vt:i4>50</vt:i4>
      </vt:variant>
      <vt:variant>
        <vt:i4>0</vt:i4>
      </vt:variant>
      <vt:variant>
        <vt:i4>5</vt:i4>
      </vt:variant>
      <vt:variant>
        <vt:lpwstr/>
      </vt:variant>
      <vt:variant>
        <vt:lpwstr>_Toc103074074</vt:lpwstr>
      </vt:variant>
      <vt:variant>
        <vt:i4>1310773</vt:i4>
      </vt:variant>
      <vt:variant>
        <vt:i4>44</vt:i4>
      </vt:variant>
      <vt:variant>
        <vt:i4>0</vt:i4>
      </vt:variant>
      <vt:variant>
        <vt:i4>5</vt:i4>
      </vt:variant>
      <vt:variant>
        <vt:lpwstr/>
      </vt:variant>
      <vt:variant>
        <vt:lpwstr>_Toc103074073</vt:lpwstr>
      </vt:variant>
      <vt:variant>
        <vt:i4>1310773</vt:i4>
      </vt:variant>
      <vt:variant>
        <vt:i4>38</vt:i4>
      </vt:variant>
      <vt:variant>
        <vt:i4>0</vt:i4>
      </vt:variant>
      <vt:variant>
        <vt:i4>5</vt:i4>
      </vt:variant>
      <vt:variant>
        <vt:lpwstr/>
      </vt:variant>
      <vt:variant>
        <vt:lpwstr>_Toc103074072</vt:lpwstr>
      </vt:variant>
      <vt:variant>
        <vt:i4>1310773</vt:i4>
      </vt:variant>
      <vt:variant>
        <vt:i4>32</vt:i4>
      </vt:variant>
      <vt:variant>
        <vt:i4>0</vt:i4>
      </vt:variant>
      <vt:variant>
        <vt:i4>5</vt:i4>
      </vt:variant>
      <vt:variant>
        <vt:lpwstr/>
      </vt:variant>
      <vt:variant>
        <vt:lpwstr>_Toc103074071</vt:lpwstr>
      </vt:variant>
      <vt:variant>
        <vt:i4>1310773</vt:i4>
      </vt:variant>
      <vt:variant>
        <vt:i4>26</vt:i4>
      </vt:variant>
      <vt:variant>
        <vt:i4>0</vt:i4>
      </vt:variant>
      <vt:variant>
        <vt:i4>5</vt:i4>
      </vt:variant>
      <vt:variant>
        <vt:lpwstr/>
      </vt:variant>
      <vt:variant>
        <vt:lpwstr>_Toc103074070</vt:lpwstr>
      </vt:variant>
      <vt:variant>
        <vt:i4>1376309</vt:i4>
      </vt:variant>
      <vt:variant>
        <vt:i4>20</vt:i4>
      </vt:variant>
      <vt:variant>
        <vt:i4>0</vt:i4>
      </vt:variant>
      <vt:variant>
        <vt:i4>5</vt:i4>
      </vt:variant>
      <vt:variant>
        <vt:lpwstr/>
      </vt:variant>
      <vt:variant>
        <vt:lpwstr>_Toc103074069</vt:lpwstr>
      </vt:variant>
      <vt:variant>
        <vt:i4>1376309</vt:i4>
      </vt:variant>
      <vt:variant>
        <vt:i4>14</vt:i4>
      </vt:variant>
      <vt:variant>
        <vt:i4>0</vt:i4>
      </vt:variant>
      <vt:variant>
        <vt:i4>5</vt:i4>
      </vt:variant>
      <vt:variant>
        <vt:lpwstr/>
      </vt:variant>
      <vt:variant>
        <vt:lpwstr>_Toc103074068</vt:lpwstr>
      </vt:variant>
      <vt:variant>
        <vt:i4>1376309</vt:i4>
      </vt:variant>
      <vt:variant>
        <vt:i4>8</vt:i4>
      </vt:variant>
      <vt:variant>
        <vt:i4>0</vt:i4>
      </vt:variant>
      <vt:variant>
        <vt:i4>5</vt:i4>
      </vt:variant>
      <vt:variant>
        <vt:lpwstr/>
      </vt:variant>
      <vt:variant>
        <vt:lpwstr>_Toc103074067</vt:lpwstr>
      </vt:variant>
      <vt:variant>
        <vt:i4>1376309</vt:i4>
      </vt:variant>
      <vt:variant>
        <vt:i4>2</vt:i4>
      </vt:variant>
      <vt:variant>
        <vt:i4>0</vt:i4>
      </vt:variant>
      <vt:variant>
        <vt:i4>5</vt:i4>
      </vt:variant>
      <vt:variant>
        <vt:lpwstr/>
      </vt:variant>
      <vt:variant>
        <vt:lpwstr>_Toc103074066</vt:lpwstr>
      </vt:variant>
      <vt:variant>
        <vt:i4>3997771</vt:i4>
      </vt:variant>
      <vt:variant>
        <vt:i4>3</vt:i4>
      </vt:variant>
      <vt:variant>
        <vt:i4>0</vt:i4>
      </vt:variant>
      <vt:variant>
        <vt:i4>5</vt:i4>
      </vt:variant>
      <vt:variant>
        <vt:lpwstr>https://www.tees.ac.uk/sections/about/information_governance/</vt:lpwstr>
      </vt:variant>
      <vt:variant>
        <vt:lpwstr/>
      </vt:variant>
      <vt:variant>
        <vt:i4>3276875</vt:i4>
      </vt:variant>
      <vt:variant>
        <vt:i4>0</vt:i4>
      </vt:variant>
      <vt:variant>
        <vt:i4>0</vt:i4>
      </vt:variant>
      <vt:variant>
        <vt:i4>5</vt:i4>
      </vt:variant>
      <vt:variant>
        <vt:lpwstr>https://www.tees.ac.uk/sections/about/information_governance/privacy.cfm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Sue</dc:creator>
  <cp:keywords/>
  <dc:description/>
  <cp:lastModifiedBy>Turner, Janice</cp:lastModifiedBy>
  <cp:revision>18</cp:revision>
  <dcterms:created xsi:type="dcterms:W3CDTF">2024-06-25T08:10:00Z</dcterms:created>
  <dcterms:modified xsi:type="dcterms:W3CDTF">2024-09-02T08:30:00Z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0x01010048DA289D886ADA4D95E50F88FD77E240</vt:lpwstr>
  </property>
</Properties>
</file>